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jc w:val="left"/>
      </w:pPr>
      <w:r>
        <w:rPr>
          <w:rFonts w:ascii="宋体" w:hAnsi="宋体" w:eastAsia="宋体" w:cs="宋体"/>
          <w:b/>
          <w:sz w:val="40"/>
          <w:szCs w:val="40"/>
        </w:rPr>
        <w:t>附件四：供应商响应模板（V1.1）</w:t>
      </w:r>
    </w:p>
    <w:p>
      <w:r>
        <w:rPr>
          <w:rFonts w:ascii="宋体" w:hAnsi="宋体" w:eastAsia="宋体" w:cs="宋体"/>
          <w:b/>
          <w:sz w:val="28"/>
          <w:szCs w:val="28"/>
        </w:rPr>
        <w:t>版本：</w:t>
      </w:r>
      <w:r>
        <w:rPr>
          <w:rFonts w:ascii="宋体" w:hAnsi="宋体" w:eastAsia="宋体" w:cs="宋体"/>
          <w:sz w:val="28"/>
          <w:szCs w:val="28"/>
        </w:rPr>
        <w:t xml:space="preserve"> V1.1</w:t>
      </w:r>
    </w:p>
    <w:p>
      <w:r>
        <w:rPr>
          <w:rFonts w:ascii="宋体" w:hAnsi="宋体" w:eastAsia="宋体" w:cs="宋体"/>
          <w:b/>
          <w:sz w:val="28"/>
          <w:szCs w:val="28"/>
        </w:rPr>
        <w:t>日期：</w:t>
      </w:r>
      <w:r>
        <w:rPr>
          <w:rFonts w:ascii="宋体" w:hAnsi="宋体" w:eastAsia="宋体" w:cs="宋体"/>
          <w:sz w:val="28"/>
          <w:szCs w:val="28"/>
        </w:rPr>
        <w:t xml:space="preserve"> 2026-04-20</w:t>
      </w:r>
    </w:p>
    <w:p>
      <w:r>
        <w:rPr>
          <w:rFonts w:ascii="宋体" w:hAnsi="宋体" w:eastAsia="宋体" w:cs="宋体"/>
          <w:b/>
          <w:sz w:val="28"/>
          <w:szCs w:val="28"/>
        </w:rPr>
        <w:t>编制单位：</w:t>
      </w:r>
      <w:r>
        <w:rPr>
          <w:rFonts w:ascii="宋体" w:hAnsi="宋体" w:eastAsia="宋体" w:cs="宋体"/>
          <w:sz w:val="28"/>
          <w:szCs w:val="28"/>
        </w:rPr>
        <w:t xml:space="preserve"> 阜矿集团</w:t>
      </w:r>
    </w:p>
    <w:p>
      <w:r>
        <w:rPr>
          <w:rFonts w:ascii="宋体" w:hAnsi="宋体" w:eastAsia="宋体" w:cs="宋体"/>
          <w:b/>
          <w:sz w:val="28"/>
          <w:szCs w:val="28"/>
        </w:rPr>
        <w:t>文档性质：</w:t>
      </w:r>
      <w:r>
        <w:rPr>
          <w:rFonts w:ascii="宋体" w:hAnsi="宋体" w:eastAsia="宋体" w:cs="宋体"/>
          <w:sz w:val="28"/>
          <w:szCs w:val="28"/>
        </w:rPr>
        <w:t xml:space="preserve"> 招标技术要求配套附件</w:t>
      </w:r>
    </w:p>
    <w:p>
      <w:r>
        <w:rPr>
          <w:rFonts w:ascii="宋体" w:hAnsi="宋体" w:eastAsia="宋体" w:cs="宋体"/>
          <w:b/>
          <w:sz w:val="28"/>
          <w:szCs w:val="28"/>
        </w:rPr>
        <w:t>对应正文：</w:t>
      </w:r>
      <w:r>
        <w:rPr>
          <w:rFonts w:ascii="宋体" w:hAnsi="宋体" w:eastAsia="宋体" w:cs="宋体"/>
          <w:sz w:val="28"/>
          <w:szCs w:val="28"/>
        </w:rPr>
        <w:t xml:space="preserve"> 《物资供应管理系统招标技术要求-V1.1》</w:t>
      </w:r>
    </w:p>
    <w:p>
      <w:pPr>
        <w:pStyle w:val="Heading2"/>
        <w:keepNext/>
        <w:jc w:val="left"/>
      </w:pPr>
      <w:r>
        <w:rPr>
          <w:rFonts w:ascii="宋体" w:hAnsi="宋体" w:eastAsia="宋体" w:cs="宋体"/>
          <w:b/>
          <w:sz w:val="28"/>
          <w:szCs w:val="28"/>
        </w:rPr>
        <w:t>一、填写要求</w:t>
      </w:r>
    </w:p>
    <w:p>
      <w:r>
        <w:rPr>
          <w:rFonts w:ascii="宋体" w:hAnsi="宋体" w:eastAsia="宋体" w:cs="宋体"/>
          <w:sz w:val="28"/>
          <w:szCs w:val="28"/>
        </w:rPr>
        <w:t>投标方应结合《物资供应管理系统招标技术要求-V1.1》和各附件要求，按本模板逐项响应。</w:t>
      </w:r>
    </w:p>
    <w:p>
      <w:r>
        <w:rPr>
          <w:rFonts w:ascii="宋体" w:hAnsi="宋体" w:eastAsia="宋体" w:cs="宋体"/>
          <w:sz w:val="28"/>
          <w:szCs w:val="28"/>
        </w:rPr>
        <w:t>响应应满足以下原则：</w:t>
      </w:r>
    </w:p>
    <w:p>
      <w:r>
        <w:rPr>
          <w:rFonts w:ascii="宋体" w:hAnsi="宋体" w:eastAsia="宋体" w:cs="宋体"/>
          <w:sz w:val="28"/>
          <w:szCs w:val="28"/>
        </w:rPr>
        <w:t>- 不得只写“满足”或“无偏差”，应说明实现路径</w:t>
      </w:r>
    </w:p>
    <w:p>
      <w:r>
        <w:rPr>
          <w:rFonts w:ascii="宋体" w:hAnsi="宋体" w:eastAsia="宋体" w:cs="宋体"/>
          <w:sz w:val="28"/>
          <w:szCs w:val="28"/>
        </w:rPr>
        <w:t>- 对标准能力、配置能力、定制能力、第三方集成能力应分别说明</w:t>
      </w:r>
    </w:p>
    <w:p>
      <w:r>
        <w:rPr>
          <w:rFonts w:ascii="宋体" w:hAnsi="宋体" w:eastAsia="宋体" w:cs="宋体"/>
          <w:sz w:val="28"/>
          <w:szCs w:val="28"/>
        </w:rPr>
        <w:t>- 对存在前提条件、边界限制、二开范围的内容应明确披露</w:t>
      </w:r>
    </w:p>
    <w:p>
      <w:r>
        <w:rPr>
          <w:rFonts w:ascii="宋体" w:hAnsi="宋体" w:eastAsia="宋体" w:cs="宋体"/>
          <w:sz w:val="28"/>
          <w:szCs w:val="28"/>
        </w:rPr>
        <w:t>- 对 AI 接入、NC 接口、设备租赁、合同付款等重点模块应重点展开</w:t>
      </w:r>
    </w:p>
    <w:p>
      <w:pPr>
        <w:pStyle w:val="Heading2"/>
        <w:keepNext/>
        <w:jc w:val="left"/>
      </w:pPr>
      <w:r>
        <w:rPr>
          <w:rFonts w:ascii="宋体" w:hAnsi="宋体" w:eastAsia="宋体" w:cs="宋体"/>
          <w:b/>
          <w:sz w:val="28"/>
          <w:szCs w:val="28"/>
        </w:rPr>
        <w:t>二、响应目录建议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1. 项目理解</w:t>
      </w:r>
    </w:p>
    <w:p>
      <w:r>
        <w:rPr>
          <w:rFonts w:ascii="宋体" w:hAnsi="宋体" w:eastAsia="宋体" w:cs="宋体"/>
          <w:sz w:val="28"/>
          <w:szCs w:val="28"/>
        </w:rPr>
        <w:t>- 对项目目标和建设范围的理解</w:t>
      </w:r>
    </w:p>
    <w:p>
      <w:r>
        <w:rPr>
          <w:rFonts w:ascii="宋体" w:hAnsi="宋体" w:eastAsia="宋体" w:cs="宋体"/>
          <w:sz w:val="28"/>
          <w:szCs w:val="28"/>
        </w:rPr>
        <w:t>- 对煤炭行业物资供应业务特点的理解</w:t>
      </w:r>
    </w:p>
    <w:p>
      <w:r>
        <w:rPr>
          <w:rFonts w:ascii="宋体" w:hAnsi="宋体" w:eastAsia="宋体" w:cs="宋体"/>
          <w:sz w:val="28"/>
          <w:szCs w:val="28"/>
        </w:rPr>
        <w:t>- 对一期边界、后续扩展边界的理解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2. 总体方案</w:t>
      </w:r>
    </w:p>
    <w:p>
      <w:r>
        <w:rPr>
          <w:rFonts w:ascii="宋体" w:hAnsi="宋体" w:eastAsia="宋体" w:cs="宋体"/>
          <w:sz w:val="28"/>
          <w:szCs w:val="28"/>
        </w:rPr>
        <w:t>- 总体架构说明</w:t>
      </w:r>
    </w:p>
    <w:p>
      <w:r>
        <w:rPr>
          <w:rFonts w:ascii="宋体" w:hAnsi="宋体" w:eastAsia="宋体" w:cs="宋体"/>
          <w:sz w:val="28"/>
          <w:szCs w:val="28"/>
        </w:rPr>
        <w:t>- 部署方式与信创适配方案</w:t>
      </w:r>
    </w:p>
    <w:p>
      <w:r>
        <w:rPr>
          <w:rFonts w:ascii="宋体" w:hAnsi="宋体" w:eastAsia="宋体" w:cs="宋体"/>
          <w:sz w:val="28"/>
          <w:szCs w:val="28"/>
        </w:rPr>
        <w:t>- 与集团统一平台的对接方案</w:t>
      </w:r>
    </w:p>
    <w:p>
      <w:r>
        <w:rPr>
          <w:rFonts w:ascii="宋体" w:hAnsi="宋体" w:eastAsia="宋体" w:cs="宋体"/>
          <w:sz w:val="28"/>
          <w:szCs w:val="28"/>
        </w:rPr>
        <w:t>- 与 NC 财务系统的集成方案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3. 功能实现方案</w:t>
      </w:r>
    </w:p>
    <w:p>
      <w:r>
        <w:rPr>
          <w:rFonts w:ascii="宋体" w:hAnsi="宋体" w:eastAsia="宋体" w:cs="宋体"/>
          <w:sz w:val="28"/>
          <w:szCs w:val="28"/>
        </w:rPr>
        <w:t>请按以下模块逐项说明：</w:t>
      </w:r>
    </w:p>
    <w:p>
      <w:r>
        <w:rPr>
          <w:rFonts w:ascii="宋体" w:hAnsi="宋体" w:eastAsia="宋体" w:cs="宋体"/>
          <w:sz w:val="28"/>
          <w:szCs w:val="28"/>
        </w:rPr>
        <w:t>- 基础档案与组织仓库管理</w:t>
      </w:r>
    </w:p>
    <w:p>
      <w:r>
        <w:rPr>
          <w:rFonts w:ascii="宋体" w:hAnsi="宋体" w:eastAsia="宋体" w:cs="宋体"/>
          <w:sz w:val="28"/>
          <w:szCs w:val="28"/>
        </w:rPr>
        <w:t>- 物料主数据与编码管理</w:t>
      </w:r>
    </w:p>
    <w:p>
      <w:r>
        <w:rPr>
          <w:rFonts w:ascii="宋体" w:hAnsi="宋体" w:eastAsia="宋体" w:cs="宋体"/>
          <w:sz w:val="28"/>
          <w:szCs w:val="28"/>
        </w:rPr>
        <w:t>- 需求提报与采购计划管理</w:t>
      </w:r>
    </w:p>
    <w:p>
      <w:r>
        <w:rPr>
          <w:rFonts w:ascii="宋体" w:hAnsi="宋体" w:eastAsia="宋体" w:cs="宋体"/>
          <w:sz w:val="28"/>
          <w:szCs w:val="28"/>
        </w:rPr>
        <w:t>- 招投标管理</w:t>
      </w:r>
    </w:p>
    <w:p>
      <w:r>
        <w:rPr>
          <w:rFonts w:ascii="宋体" w:hAnsi="宋体" w:eastAsia="宋体" w:cs="宋体"/>
          <w:sz w:val="28"/>
          <w:szCs w:val="28"/>
        </w:rPr>
        <w:t>- 采购到货与入库管理</w:t>
      </w:r>
    </w:p>
    <w:p>
      <w:r>
        <w:rPr>
          <w:rFonts w:ascii="宋体" w:hAnsi="宋体" w:eastAsia="宋体" w:cs="宋体"/>
          <w:sz w:val="28"/>
          <w:szCs w:val="28"/>
        </w:rPr>
        <w:t>- 库存领用与退料调拨管理</w:t>
      </w:r>
    </w:p>
    <w:p>
      <w:r>
        <w:rPr>
          <w:rFonts w:ascii="宋体" w:hAnsi="宋体" w:eastAsia="宋体" w:cs="宋体"/>
          <w:sz w:val="28"/>
          <w:szCs w:val="28"/>
        </w:rPr>
        <w:t>- 盘点与废旧处置管理</w:t>
      </w:r>
    </w:p>
    <w:p>
      <w:r>
        <w:rPr>
          <w:rFonts w:ascii="宋体" w:hAnsi="宋体" w:eastAsia="宋体" w:cs="宋体"/>
          <w:sz w:val="28"/>
          <w:szCs w:val="28"/>
        </w:rPr>
        <w:t>- 设备管理</w:t>
      </w:r>
    </w:p>
    <w:p>
      <w:r>
        <w:rPr>
          <w:rFonts w:ascii="宋体" w:hAnsi="宋体" w:eastAsia="宋体" w:cs="宋体"/>
          <w:sz w:val="28"/>
          <w:szCs w:val="28"/>
        </w:rPr>
        <w:t>- 设备租赁管理</w:t>
      </w:r>
    </w:p>
    <w:p>
      <w:r>
        <w:rPr>
          <w:rFonts w:ascii="宋体" w:hAnsi="宋体" w:eastAsia="宋体" w:cs="宋体"/>
          <w:sz w:val="28"/>
          <w:szCs w:val="28"/>
        </w:rPr>
        <w:t>- 合同管理</w:t>
      </w:r>
    </w:p>
    <w:p>
      <w:r>
        <w:rPr>
          <w:rFonts w:ascii="宋体" w:hAnsi="宋体" w:eastAsia="宋体" w:cs="宋体"/>
          <w:sz w:val="28"/>
          <w:szCs w:val="28"/>
        </w:rPr>
        <w:t>- 资金计划管理</w:t>
      </w:r>
    </w:p>
    <w:p>
      <w:r>
        <w:rPr>
          <w:rFonts w:ascii="宋体" w:hAnsi="宋体" w:eastAsia="宋体" w:cs="宋体"/>
          <w:sz w:val="28"/>
          <w:szCs w:val="28"/>
        </w:rPr>
        <w:t>- 供应商管理</w:t>
      </w:r>
    </w:p>
    <w:p>
      <w:r>
        <w:rPr>
          <w:rFonts w:ascii="宋体" w:hAnsi="宋体" w:eastAsia="宋体" w:cs="宋体"/>
          <w:sz w:val="28"/>
          <w:szCs w:val="28"/>
        </w:rPr>
        <w:t>- 财务与NC接口管理</w:t>
      </w:r>
    </w:p>
    <w:p>
      <w:r>
        <w:rPr>
          <w:rFonts w:ascii="宋体" w:hAnsi="宋体" w:eastAsia="宋体" w:cs="宋体"/>
          <w:sz w:val="28"/>
          <w:szCs w:val="28"/>
        </w:rPr>
        <w:t>- 报表预警与查询分析</w:t>
      </w:r>
    </w:p>
    <w:p>
      <w:r>
        <w:rPr>
          <w:rFonts w:ascii="宋体" w:hAnsi="宋体" w:eastAsia="宋体" w:cs="宋体"/>
          <w:sz w:val="28"/>
          <w:szCs w:val="28"/>
        </w:rPr>
        <w:t>- 系统管理与基础支撑</w:t>
      </w:r>
    </w:p>
    <w:p>
      <w:r>
        <w:rPr>
          <w:rFonts w:ascii="宋体" w:hAnsi="宋体" w:eastAsia="宋体" w:cs="宋体"/>
          <w:sz w:val="28"/>
          <w:szCs w:val="28"/>
        </w:rPr>
        <w:t>每个模块至少说明：</w:t>
      </w:r>
    </w:p>
    <w:p>
      <w:r>
        <w:rPr>
          <w:rFonts w:ascii="宋体" w:hAnsi="宋体" w:eastAsia="宋体" w:cs="宋体"/>
          <w:sz w:val="28"/>
          <w:szCs w:val="28"/>
        </w:rPr>
        <w:t>- 标准功能范围</w:t>
      </w:r>
    </w:p>
    <w:p>
      <w:r>
        <w:rPr>
          <w:rFonts w:ascii="宋体" w:hAnsi="宋体" w:eastAsia="宋体" w:cs="宋体"/>
          <w:sz w:val="28"/>
          <w:szCs w:val="28"/>
        </w:rPr>
        <w:t>- 参数配置能力</w:t>
      </w:r>
    </w:p>
    <w:p>
      <w:r>
        <w:rPr>
          <w:rFonts w:ascii="宋体" w:hAnsi="宋体" w:eastAsia="宋体" w:cs="宋体"/>
          <w:sz w:val="28"/>
          <w:szCs w:val="28"/>
        </w:rPr>
        <w:t>- 需定制开发内容</w:t>
      </w:r>
    </w:p>
    <w:p>
      <w:r>
        <w:rPr>
          <w:rFonts w:ascii="宋体" w:hAnsi="宋体" w:eastAsia="宋体" w:cs="宋体"/>
          <w:sz w:val="28"/>
          <w:szCs w:val="28"/>
        </w:rPr>
        <w:t>- 与其他模块的联动方式</w:t>
      </w:r>
    </w:p>
    <w:p>
      <w:r>
        <w:rPr>
          <w:rFonts w:ascii="宋体" w:hAnsi="宋体" w:eastAsia="宋体" w:cs="宋体"/>
          <w:sz w:val="28"/>
          <w:szCs w:val="28"/>
        </w:rPr>
        <w:t>- 关键风险与限制条件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4. 重点专题响应</w:t>
      </w:r>
    </w:p>
    <w:p>
      <w:pPr>
        <w:pStyle w:val="Heading4"/>
        <w:keepNext/>
        <w:jc w:val="left"/>
      </w:pPr>
      <w:r>
        <w:rPr>
          <w:rFonts w:ascii="宋体" w:hAnsi="宋体" w:eastAsia="宋体" w:cs="宋体"/>
          <w:b/>
          <w:sz w:val="30"/>
          <w:szCs w:val="30"/>
        </w:rPr>
        <w:t>4.1 设备管理</w:t>
      </w:r>
    </w:p>
    <w:p>
      <w:r>
        <w:rPr>
          <w:rFonts w:ascii="宋体" w:hAnsi="宋体" w:eastAsia="宋体" w:cs="宋体"/>
          <w:sz w:val="28"/>
          <w:szCs w:val="28"/>
        </w:rPr>
        <w:t>- 权属分级与变更审批实现方式</w:t>
      </w:r>
    </w:p>
    <w:p>
      <w:r>
        <w:rPr>
          <w:rFonts w:ascii="宋体" w:hAnsi="宋体" w:eastAsia="宋体" w:cs="宋体"/>
          <w:sz w:val="28"/>
          <w:szCs w:val="28"/>
        </w:rPr>
        <w:t>- 跨组织调拨审批与交接确认实现方式</w:t>
      </w:r>
    </w:p>
    <w:p>
      <w:r>
        <w:rPr>
          <w:rFonts w:ascii="宋体" w:hAnsi="宋体" w:eastAsia="宋体" w:cs="宋体"/>
          <w:sz w:val="28"/>
          <w:szCs w:val="28"/>
        </w:rPr>
        <w:t>- 检修申请/执行/完成轻量闭环实现方式</w:t>
      </w:r>
    </w:p>
    <w:p>
      <w:pPr>
        <w:pStyle w:val="Heading4"/>
        <w:keepNext/>
        <w:jc w:val="left"/>
      </w:pPr>
      <w:r>
        <w:rPr>
          <w:rFonts w:ascii="宋体" w:hAnsi="宋体" w:eastAsia="宋体" w:cs="宋体"/>
          <w:b/>
          <w:sz w:val="30"/>
          <w:szCs w:val="30"/>
        </w:rPr>
        <w:t>4.2 设备租赁管理</w:t>
      </w:r>
    </w:p>
    <w:p>
      <w:r>
        <w:rPr>
          <w:rFonts w:ascii="宋体" w:hAnsi="宋体" w:eastAsia="宋体" w:cs="宋体"/>
          <w:sz w:val="28"/>
          <w:szCs w:val="28"/>
        </w:rPr>
        <w:t>- 租赁申请、起租、续租、停租、退租流程实现方式</w:t>
      </w:r>
    </w:p>
    <w:p>
      <w:r>
        <w:rPr>
          <w:rFonts w:ascii="宋体" w:hAnsi="宋体" w:eastAsia="宋体" w:cs="宋体"/>
          <w:sz w:val="28"/>
          <w:szCs w:val="28"/>
        </w:rPr>
        <w:t>- 月度租赁费用汇总逻辑</w:t>
      </w:r>
    </w:p>
    <w:p>
      <w:r>
        <w:rPr>
          <w:rFonts w:ascii="宋体" w:hAnsi="宋体" w:eastAsia="宋体" w:cs="宋体"/>
          <w:sz w:val="28"/>
          <w:szCs w:val="28"/>
        </w:rPr>
        <w:t>- 与资金计划管理模块的联动方式</w:t>
      </w:r>
    </w:p>
    <w:p>
      <w:r>
        <w:rPr>
          <w:rFonts w:ascii="宋体" w:hAnsi="宋体" w:eastAsia="宋体" w:cs="宋体"/>
          <w:sz w:val="28"/>
          <w:szCs w:val="28"/>
        </w:rPr>
        <w:t>- 租赁到期、超期未退、异常停租预警机制</w:t>
      </w:r>
    </w:p>
    <w:p>
      <w:pPr>
        <w:pStyle w:val="Heading4"/>
        <w:keepNext/>
        <w:jc w:val="left"/>
      </w:pPr>
      <w:r>
        <w:rPr>
          <w:rFonts w:ascii="宋体" w:hAnsi="宋体" w:eastAsia="宋体" w:cs="宋体"/>
          <w:b/>
          <w:sz w:val="30"/>
          <w:szCs w:val="30"/>
        </w:rPr>
        <w:t>4.3 合同管理</w:t>
      </w:r>
    </w:p>
    <w:p>
      <w:r>
        <w:rPr>
          <w:rFonts w:ascii="宋体" w:hAnsi="宋体" w:eastAsia="宋体" w:cs="宋体"/>
          <w:sz w:val="28"/>
          <w:szCs w:val="28"/>
        </w:rPr>
        <w:t>- 合同审批会签实现方式</w:t>
      </w:r>
    </w:p>
    <w:p>
      <w:r>
        <w:rPr>
          <w:rFonts w:ascii="宋体" w:hAnsi="宋体" w:eastAsia="宋体" w:cs="宋体"/>
          <w:sz w:val="28"/>
          <w:szCs w:val="28"/>
        </w:rPr>
        <w:t>- 付款条款与付款节点定义方式</w:t>
      </w:r>
    </w:p>
    <w:p>
      <w:r>
        <w:rPr>
          <w:rFonts w:ascii="宋体" w:hAnsi="宋体" w:eastAsia="宋体" w:cs="宋体"/>
          <w:sz w:val="28"/>
          <w:szCs w:val="28"/>
        </w:rPr>
        <w:t>- 合同风险点管理方式</w:t>
      </w:r>
    </w:p>
    <w:p>
      <w:pPr>
        <w:pStyle w:val="Heading4"/>
        <w:keepNext/>
        <w:jc w:val="left"/>
      </w:pPr>
      <w:r>
        <w:rPr>
          <w:rFonts w:ascii="宋体" w:hAnsi="宋体" w:eastAsia="宋体" w:cs="宋体"/>
          <w:b/>
          <w:sz w:val="30"/>
          <w:szCs w:val="30"/>
        </w:rPr>
        <w:t>4.4 资金计划管理</w:t>
      </w:r>
    </w:p>
    <w:p>
      <w:r>
        <w:rPr>
          <w:rFonts w:ascii="宋体" w:hAnsi="宋体" w:eastAsia="宋体" w:cs="宋体"/>
          <w:sz w:val="28"/>
          <w:szCs w:val="28"/>
        </w:rPr>
        <w:t>- 付款计划生成逻辑</w:t>
      </w:r>
    </w:p>
    <w:p>
      <w:r>
        <w:rPr>
          <w:rFonts w:ascii="宋体" w:hAnsi="宋体" w:eastAsia="宋体" w:cs="宋体"/>
          <w:sz w:val="28"/>
          <w:szCs w:val="28"/>
        </w:rPr>
        <w:t>- 月度预支付汇总生成方式</w:t>
      </w:r>
    </w:p>
    <w:p>
      <w:r>
        <w:rPr>
          <w:rFonts w:ascii="宋体" w:hAnsi="宋体" w:eastAsia="宋体" w:cs="宋体"/>
          <w:sz w:val="28"/>
          <w:szCs w:val="28"/>
        </w:rPr>
        <w:t>- 付款申请审批与条件校验方式</w:t>
      </w:r>
    </w:p>
    <w:p>
      <w:r>
        <w:rPr>
          <w:rFonts w:ascii="宋体" w:hAnsi="宋体" w:eastAsia="宋体" w:cs="宋体"/>
          <w:sz w:val="28"/>
          <w:szCs w:val="28"/>
        </w:rPr>
        <w:t>- 实付结果回写与对账方式</w:t>
      </w:r>
    </w:p>
    <w:p>
      <w:pPr>
        <w:pStyle w:val="Heading4"/>
        <w:keepNext/>
        <w:jc w:val="left"/>
      </w:pPr>
      <w:r>
        <w:rPr>
          <w:rFonts w:ascii="宋体" w:hAnsi="宋体" w:eastAsia="宋体" w:cs="宋体"/>
          <w:b/>
          <w:sz w:val="30"/>
          <w:szCs w:val="30"/>
        </w:rPr>
        <w:t>4.5 财务与 NC 接口</w:t>
      </w:r>
    </w:p>
    <w:p>
      <w:r>
        <w:rPr>
          <w:rFonts w:ascii="宋体" w:hAnsi="宋体" w:eastAsia="宋体" w:cs="宋体"/>
          <w:sz w:val="28"/>
          <w:szCs w:val="28"/>
        </w:rPr>
        <w:t>- 29 项接口实现方式</w:t>
      </w:r>
    </w:p>
    <w:p>
      <w:r>
        <w:rPr>
          <w:rFonts w:ascii="宋体" w:hAnsi="宋体" w:eastAsia="宋体" w:cs="宋体"/>
          <w:sz w:val="28"/>
          <w:szCs w:val="28"/>
        </w:rPr>
        <w:t>- 委托加工相关财务触发实现方式</w:t>
      </w:r>
    </w:p>
    <w:p>
      <w:r>
        <w:rPr>
          <w:rFonts w:ascii="宋体" w:hAnsi="宋体" w:eastAsia="宋体" w:cs="宋体"/>
          <w:sz w:val="28"/>
          <w:szCs w:val="28"/>
        </w:rPr>
        <w:t>- 异常重推与对账机制</w:t>
      </w:r>
    </w:p>
    <w:p>
      <w:pPr>
        <w:pStyle w:val="Heading4"/>
        <w:keepNext/>
        <w:jc w:val="left"/>
      </w:pPr>
      <w:r>
        <w:rPr>
          <w:rFonts w:ascii="宋体" w:hAnsi="宋体" w:eastAsia="宋体" w:cs="宋体"/>
          <w:b/>
          <w:sz w:val="30"/>
          <w:szCs w:val="30"/>
        </w:rPr>
        <w:t>4.6 AI 接入</w:t>
      </w:r>
    </w:p>
    <w:p>
      <w:r>
        <w:rPr>
          <w:rFonts w:ascii="宋体" w:hAnsi="宋体" w:eastAsia="宋体" w:cs="宋体"/>
          <w:sz w:val="28"/>
          <w:szCs w:val="28"/>
        </w:rPr>
        <w:t>- 对统一 AI 入口接入要求的理解</w:t>
      </w:r>
    </w:p>
    <w:p>
      <w:r>
        <w:rPr>
          <w:rFonts w:ascii="宋体" w:hAnsi="宋体" w:eastAsia="宋体" w:cs="宋体"/>
          <w:sz w:val="28"/>
          <w:szCs w:val="28"/>
        </w:rPr>
        <w:t>- 标准业务能力接口开放方案</w:t>
      </w:r>
    </w:p>
    <w:p>
      <w:r>
        <w:rPr>
          <w:rFonts w:ascii="宋体" w:hAnsi="宋体" w:eastAsia="宋体" w:cs="宋体"/>
          <w:sz w:val="28"/>
          <w:szCs w:val="28"/>
        </w:rPr>
        <w:t>- Tool 封装支撑方式</w:t>
      </w:r>
    </w:p>
    <w:p>
      <w:r>
        <w:rPr>
          <w:rFonts w:ascii="宋体" w:hAnsi="宋体" w:eastAsia="宋体" w:cs="宋体"/>
          <w:sz w:val="28"/>
          <w:szCs w:val="28"/>
        </w:rPr>
        <w:t>- 权限控制与日志审计方案</w:t>
      </w:r>
    </w:p>
    <w:p>
      <w:r>
        <w:rPr>
          <w:rFonts w:ascii="宋体" w:hAnsi="宋体" w:eastAsia="宋体" w:cs="宋体"/>
          <w:sz w:val="28"/>
          <w:szCs w:val="28"/>
        </w:rPr>
        <w:t>- AI 联调与验收组织方式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5. 实施方案</w:t>
      </w:r>
    </w:p>
    <w:p>
      <w:r>
        <w:rPr>
          <w:rFonts w:ascii="宋体" w:hAnsi="宋体" w:eastAsia="宋体" w:cs="宋体"/>
          <w:sz w:val="28"/>
          <w:szCs w:val="28"/>
        </w:rPr>
        <w:t>- 项目组织与人员配置</w:t>
      </w:r>
    </w:p>
    <w:p>
      <w:r>
        <w:rPr>
          <w:rFonts w:ascii="宋体" w:hAnsi="宋体" w:eastAsia="宋体" w:cs="宋体"/>
          <w:sz w:val="28"/>
          <w:szCs w:val="28"/>
        </w:rPr>
        <w:t>- 需求复核与深化设计方法</w:t>
      </w:r>
    </w:p>
    <w:p>
      <w:r>
        <w:rPr>
          <w:rFonts w:ascii="宋体" w:hAnsi="宋体" w:eastAsia="宋体" w:cs="宋体"/>
          <w:sz w:val="28"/>
          <w:szCs w:val="28"/>
        </w:rPr>
        <w:t>- 开发、测试、联调、试运行计划</w:t>
      </w:r>
    </w:p>
    <w:p>
      <w:r>
        <w:rPr>
          <w:rFonts w:ascii="宋体" w:hAnsi="宋体" w:eastAsia="宋体" w:cs="宋体"/>
          <w:sz w:val="28"/>
          <w:szCs w:val="28"/>
        </w:rPr>
        <w:t>- 数据迁移与切换方案</w:t>
      </w:r>
    </w:p>
    <w:p>
      <w:r>
        <w:rPr>
          <w:rFonts w:ascii="宋体" w:hAnsi="宋体" w:eastAsia="宋体" w:cs="宋体"/>
          <w:sz w:val="28"/>
          <w:szCs w:val="28"/>
        </w:rPr>
        <w:t>- 培训与上线保障方案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6. 类似案例</w:t>
      </w:r>
    </w:p>
    <w:p>
      <w:r>
        <w:rPr>
          <w:rFonts w:ascii="宋体" w:hAnsi="宋体" w:eastAsia="宋体" w:cs="宋体"/>
          <w:sz w:val="28"/>
          <w:szCs w:val="28"/>
        </w:rPr>
        <w:t>- 煤炭/矿业行业案例</w:t>
      </w:r>
    </w:p>
    <w:p>
      <w:r>
        <w:rPr>
          <w:rFonts w:ascii="宋体" w:hAnsi="宋体" w:eastAsia="宋体" w:cs="宋体"/>
          <w:sz w:val="28"/>
          <w:szCs w:val="28"/>
        </w:rPr>
        <w:t>- 与 NC 对接案例</w:t>
      </w:r>
    </w:p>
    <w:p>
      <w:r>
        <w:rPr>
          <w:rFonts w:ascii="宋体" w:hAnsi="宋体" w:eastAsia="宋体" w:cs="宋体"/>
          <w:sz w:val="28"/>
          <w:szCs w:val="28"/>
        </w:rPr>
        <w:t>- 集团型多组织案例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7. 偏差与风险说明</w:t>
      </w:r>
    </w:p>
    <w:p>
      <w:r>
        <w:rPr>
          <w:rFonts w:ascii="宋体" w:hAnsi="宋体" w:eastAsia="宋体" w:cs="宋体"/>
          <w:sz w:val="28"/>
          <w:szCs w:val="28"/>
        </w:rPr>
        <w:t>- 与招标要求不一致项清单</w:t>
      </w:r>
    </w:p>
    <w:p>
      <w:r>
        <w:rPr>
          <w:rFonts w:ascii="宋体" w:hAnsi="宋体" w:eastAsia="宋体" w:cs="宋体"/>
          <w:sz w:val="28"/>
          <w:szCs w:val="28"/>
        </w:rPr>
        <w:t>- 风险识别与应对措施</w:t>
      </w:r>
    </w:p>
    <w:p>
      <w:r>
        <w:rPr>
          <w:rFonts w:ascii="宋体" w:hAnsi="宋体" w:eastAsia="宋体" w:cs="宋体"/>
          <w:sz w:val="28"/>
          <w:szCs w:val="28"/>
        </w:rPr>
        <w:t>- 需招标方配合事项</w:t>
      </w:r>
    </w:p>
    <w:p>
      <w:pPr>
        <w:pStyle w:val="Heading2"/>
        <w:keepNext/>
        <w:jc w:val="left"/>
      </w:pPr>
      <w:r>
        <w:rPr>
          <w:rFonts w:ascii="宋体" w:hAnsi="宋体" w:eastAsia="宋体" w:cs="宋体"/>
          <w:b/>
          <w:sz w:val="28"/>
          <w:szCs w:val="28"/>
        </w:rPr>
        <w:t>三、投标方信息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项目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内容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投标方名称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方案版本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项目负责人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联系方式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日期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</w:p>
        </w:tc>
      </w:tr>
    </w:tbl>
    <w:sectPr w:rsidR="00FC693F" w:rsidRPr="0006063C" w:rsidSect="00034616">
      <w:headerReference w:type="default" r:id="rId9"/>
      <w:headerReference w:type="first" r:id="rId10"/>
      <w:headerReference w:type="even" r:id="rId11"/>
      <w:footerReference w:type="default" r:id="rId12"/>
      <w:footerReference w:type="first" r:id="rId13"/>
      <w:footerReference w:type="even" r:id="rId14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rPr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rPr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rPr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rPr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rPr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rPr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 w:cs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 w:cs="宋体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宋体" w:hAnsi="宋体" w:eastAsia="宋体" w:cs="宋体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 w:cs="宋体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宋体" w:hAnsi="宋体" w:eastAsia="宋体" w:cs="宋体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 w:cs="宋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 w:cs="宋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 w:eastAsia="宋体" w:cs="宋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 w:eastAsia="宋体" w:cs="宋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 w:eastAsia="宋体" w:cs="宋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 w:eastAsia="宋体" w:cs="宋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宋体" w:hAnsi="宋体" w:eastAsia="宋体" w:cs="宋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宋体" w:hAnsi="宋体" w:eastAsia="宋体" w:cs="宋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宋体" w:hAnsi="宋体" w:eastAsia="宋体" w:cs="宋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宋体" w:hAnsi="宋体" w:eastAsia="宋体" w:cs="宋体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rPr>
      <w:rFonts w:ascii="宋体" w:hAnsi="宋体" w:eastAsia="宋体" w:cs="宋体"/>
    </w:rPr>
  </w:style>
  <w:style w:type="numbering" w:default="1" w:styleId="NoList">
    <w:name w:val="No List"/>
    <w:uiPriority w:val="99"/>
    <w:semiHidden/>
    <w:unhideWhenUsed/>
    <w:rPr>
      <w:rFonts w:ascii="宋体" w:hAnsi="宋体" w:eastAsia="宋体" w:cs="宋体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宋体" w:hAnsi="宋体" w:eastAsia="宋体" w:cs="宋体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宋体" w:hAnsi="宋体" w:eastAsia="宋体" w:cs="宋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宋体" w:hAnsi="宋体" w:eastAsia="宋体" w:cs="宋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宋体" w:hAnsi="宋体" w:eastAsia="宋体" w:cs="宋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宋体" w:hAnsi="宋体" w:eastAsia="宋体" w:cs="宋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宋体" w:hAnsi="宋体" w:eastAsia="宋体" w:cs="宋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宋体" w:hAnsi="宋体" w:eastAsia="宋体" w:cs="宋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宋体" w:hAnsi="宋体" w:eastAsia="宋体" w:cs="宋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宋体" w:hAnsi="宋体" w:eastAsia="宋体" w:cs="宋体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宋体" w:hAnsi="宋体" w:eastAsia="宋体" w:cs="宋体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宋体" w:hAnsi="宋体" w:eastAsia="宋体" w:cs="宋体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宋体" w:hAnsi="宋体" w:eastAsia="宋体" w:cs="宋体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宋体" w:hAnsi="宋体" w:eastAsia="宋体" w:cs="宋体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宋体" w:hAnsi="宋体" w:eastAsia="宋体" w:cs="宋体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宋体" w:hAnsi="宋体" w:eastAsia="宋体" w:cs="宋体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宋体" w:hAnsi="宋体" w:eastAsia="宋体" w:cs="宋体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宋体" w:hAnsi="宋体" w:eastAsia="宋体" w:cs="宋体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宋体" w:hAnsi="宋体" w:eastAsia="宋体" w:cs="宋体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宋体" w:hAnsi="宋体" w:eastAsia="宋体" w:cs="宋体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宋体" w:hAnsi="宋体" w:eastAsia="宋体" w:cs="宋体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宋体" w:hAnsi="宋体" w:eastAsia="宋体" w:cs="宋体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宋体" w:hAnsi="宋体" w:eastAsia="宋体" w:cs="宋体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宋体" w:hAnsi="宋体" w:eastAsia="宋体" w:cs="宋体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宋体" w:hAnsi="宋体" w:eastAsia="宋体" w:cs="宋体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宋体" w:hAnsi="宋体" w:eastAsia="宋体" w:cs="宋体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宋体" w:hAnsi="宋体" w:eastAsia="宋体" w:cs="宋体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宋体" w:hAnsi="宋体" w:eastAsia="宋体" w:cs="宋体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宋体" w:hAnsi="宋体" w:eastAsia="宋体" w:cs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宋体" w:hAnsi="宋体" w:eastAsia="宋体" w:cs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宋体" w:hAnsi="宋体" w:eastAsia="宋体" w:cs="宋体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宋体" w:hAnsi="宋体" w:eastAsia="宋体" w:cs="宋体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宋体" w:hAnsi="宋体" w:eastAsia="宋体" w:cs="宋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宋体" w:hAnsi="宋体" w:eastAsia="宋体" w:cs="宋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宋体" w:hAnsi="宋体" w:eastAsia="宋体" w:cs="宋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宋体" w:hAnsi="宋体" w:eastAsia="宋体" w:cs="宋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宋体" w:hAnsi="宋体" w:eastAsia="宋体" w:cs="宋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宋体" w:hAnsi="宋体" w:eastAsia="宋体" w:cs="宋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宋体" w:hAnsi="宋体" w:eastAsia="宋体" w:cs="宋体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宋体" w:hAnsi="宋体" w:eastAsia="宋体" w:cs="宋体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宋体" w:hAnsi="宋体" w:eastAsia="宋体" w:cs="宋体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宋体" w:hAnsi="宋体" w:eastAsia="宋体" w:cs="宋体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宋体" w:hAnsi="宋体" w:eastAsia="宋体" w:cs="宋体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宋体" w:hAnsi="宋体" w:eastAsia="宋体" w:cs="宋体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宋体" w:hAnsi="宋体" w:eastAsia="宋体" w:cs="宋体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宋体" w:hAnsi="宋体" w:eastAsia="宋体" w:cs="宋体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宋体" w:hAnsi="宋体" w:eastAsia="宋体" w:cs="宋体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宋体" w:hAnsi="宋体" w:eastAsia="宋体" w:cs="宋体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宋体" w:hAnsi="宋体" w:eastAsia="宋体" w:cs="宋体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rPr>
      <w:rFonts w:ascii="宋体" w:hAnsi="宋体" w:eastAsia="宋体" w:cs="宋体"/>
    </w:r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宋体" w:hAnsi="宋体" w:eastAsia="宋体" w:cs="宋体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宋体" w:hAnsi="宋体" w:eastAsia="宋体" w:cs="宋体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宋体" w:hAnsi="宋体" w:eastAsia="宋体" w:cs="宋体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宋体" w:hAnsi="宋体" w:eastAsia="宋体" w:cs="宋体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宋体" w:hAnsi="宋体" w:eastAsia="宋体" w:cs="宋体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宋体" w:hAnsi="宋体" w:eastAsia="宋体" w:cs="宋体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宋体" w:hAnsi="宋体" w:eastAsia="宋体" w:cs="宋体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rPr>
      <w:rFonts w:ascii="宋体" w:hAnsi="宋体" w:eastAsia="宋体" w:cs="宋体"/>
    </w:r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rPr>
      <w:rFonts w:ascii="宋体" w:hAnsi="宋体" w:eastAsia="宋体" w:cs="宋体"/>
    </w:r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rPr>
      <w:rFonts w:ascii="宋体" w:hAnsi="宋体" w:eastAsia="宋体" w:cs="宋体"/>
    </w:r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rPr>
      <w:rFonts w:ascii="宋体" w:hAnsi="宋体" w:eastAsia="宋体" w:cs="宋体"/>
    </w:r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rPr>
      <w:rFonts w:ascii="宋体" w:hAnsi="宋体" w:eastAsia="宋体" w:cs="宋体"/>
    </w:r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rPr>
      <w:rFonts w:ascii="宋体" w:hAnsi="宋体" w:eastAsia="宋体" w:cs="宋体"/>
    </w:r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rPr>
      <w:rFonts w:ascii="宋体" w:hAnsi="宋体" w:eastAsia="宋体" w:cs="宋体"/>
    </w:r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rPr>
      <w:rFonts w:ascii="宋体" w:hAnsi="宋体" w:eastAsia="宋体" w:cs="宋体"/>
    </w:r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rPr>
      <w:rFonts w:ascii="宋体" w:hAnsi="宋体" w:eastAsia="宋体" w:cs="宋体"/>
    </w:r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rPr>
      <w:rFonts w:ascii="宋体" w:hAnsi="宋体" w:eastAsia="宋体" w:cs="宋体"/>
    </w:r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rPr>
      <w:rFonts w:ascii="宋体" w:hAnsi="宋体" w:eastAsia="宋体" w:cs="宋体"/>
    </w:r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rPr>
      <w:rFonts w:ascii="宋体" w:hAnsi="宋体" w:eastAsia="宋体" w:cs="宋体"/>
    </w:r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rPr>
      <w:rFonts w:ascii="宋体" w:hAnsi="宋体" w:eastAsia="宋体" w:cs="宋体"/>
    </w:r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rPr>
      <w:rFonts w:ascii="宋体" w:hAnsi="宋体" w:eastAsia="宋体" w:cs="宋体"/>
    </w:r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rPr>
      <w:rFonts w:ascii="宋体" w:hAnsi="宋体" w:eastAsia="宋体" w:cs="宋体"/>
    </w:r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rPr>
      <w:rFonts w:ascii="宋体" w:hAnsi="宋体" w:eastAsia="宋体" w:cs="宋体"/>
    </w:r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rPr>
      <w:rFonts w:ascii="宋体" w:hAnsi="宋体" w:eastAsia="宋体" w:cs="宋体"/>
    </w:r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rPr>
      <w:rFonts w:ascii="宋体" w:hAnsi="宋体" w:eastAsia="宋体" w:cs="宋体"/>
    </w:r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rPr>
      <w:rFonts w:ascii="宋体" w:hAnsi="宋体" w:eastAsia="宋体" w:cs="宋体"/>
    </w:r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rPr>
      <w:rFonts w:ascii="宋体" w:hAnsi="宋体" w:eastAsia="宋体" w:cs="宋体"/>
    </w:r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rPr>
      <w:rFonts w:ascii="宋体" w:hAnsi="宋体" w:eastAsia="宋体" w:cs="宋体"/>
    </w:r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  <w:rPr>
      <w:rFonts w:ascii="宋体" w:hAnsi="宋体" w:eastAsia="宋体" w:cs="宋体"/>
    </w:r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  <w:rPr>
      <w:rFonts w:ascii="宋体" w:hAnsi="宋体" w:eastAsia="宋体" w:cs="宋体"/>
    </w:r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  <w:rPr>
      <w:rFonts w:ascii="宋体" w:hAnsi="宋体" w:eastAsia="宋体" w:cs="宋体"/>
    </w:r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  <w:rPr>
      <w:rFonts w:ascii="宋体" w:hAnsi="宋体" w:eastAsia="宋体" w:cs="宋体"/>
    </w:r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  <w:rPr>
      <w:rFonts w:ascii="宋体" w:hAnsi="宋体" w:eastAsia="宋体" w:cs="宋体"/>
    </w:r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  <w:rPr>
      <w:rFonts w:ascii="宋体" w:hAnsi="宋体" w:eastAsia="宋体" w:cs="宋体"/>
    </w:r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  <w:rPr>
      <w:rFonts w:ascii="宋体" w:hAnsi="宋体" w:eastAsia="宋体" w:cs="宋体"/>
    </w:r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宋体" w:hAnsi="宋体" w:eastAsia="宋体" w:cs="宋体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宋体" w:hAnsi="宋体" w:eastAsia="宋体" w:cs="宋体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宋体" w:hAnsi="宋体" w:eastAsia="宋体" w:cs="宋体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宋体" w:hAnsi="宋体" w:eastAsia="宋体" w:cs="宋体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宋体" w:hAnsi="宋体" w:eastAsia="宋体" w:cs="宋体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宋体" w:hAnsi="宋体" w:eastAsia="宋体" w:cs="宋体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宋体" w:hAnsi="宋体" w:eastAsia="宋体" w:cs="宋体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