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jc w:val="left"/>
      </w:pPr>
      <w:r>
        <w:rPr>
          <w:rFonts w:ascii="宋体" w:hAnsi="宋体" w:eastAsia="宋体" w:cs="宋体"/>
          <w:b/>
          <w:sz w:val="40"/>
          <w:szCs w:val="40"/>
        </w:rPr>
        <w:t>发标包最终目录及附件说明（V1.1）</w:t>
      </w:r>
    </w:p>
    <w:p>
      <w:pPr>
        <w:pStyle w:val="Heading2"/>
        <w:keepNext/>
        <w:jc w:val="left"/>
      </w:pPr>
      <w:r>
        <w:rPr>
          <w:rFonts w:ascii="宋体" w:hAnsi="宋体" w:eastAsia="宋体" w:cs="宋体"/>
          <w:b/>
          <w:sz w:val="28"/>
          <w:szCs w:val="28"/>
        </w:rPr>
        <w:t>一、文档目的</w:t>
      </w:r>
    </w:p>
    <w:p>
      <w:r>
        <w:rPr>
          <w:rFonts w:ascii="宋体" w:hAnsi="宋体" w:eastAsia="宋体" w:cs="宋体"/>
          <w:sz w:val="28"/>
          <w:szCs w:val="28"/>
        </w:rPr>
        <w:t>本文档用于明确物资供应管理系统项目发标阶段的最终外发材料目录、各附件用途及内外部发放边界，作为发标包组包、送审和对外发放的统一依据。</w:t>
      </w:r>
    </w:p>
    <w:p>
      <w:pPr>
        <w:pStyle w:val="Heading2"/>
        <w:keepNext/>
        <w:jc w:val="left"/>
      </w:pPr>
      <w:r>
        <w:rPr>
          <w:rFonts w:ascii="宋体" w:hAnsi="宋体" w:eastAsia="宋体" w:cs="宋体"/>
          <w:b/>
          <w:sz w:val="28"/>
          <w:szCs w:val="28"/>
        </w:rPr>
        <w:t>二、发标包外发目录（正式版）</w:t>
      </w:r>
    </w:p>
    <w:p>
      <w:r>
        <w:rPr>
          <w:rFonts w:ascii="宋体" w:hAnsi="宋体" w:eastAsia="宋体" w:cs="宋体"/>
          <w:sz w:val="28"/>
          <w:szCs w:val="28"/>
        </w:rPr>
        <w:t>建议本项目正式发标包按“1个正文 + 6个附件”组织。</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gridCol w:w="1800"/>
      </w:tblGrid>
      <w:tr>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序号</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文档编号</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文档名称</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当前源文件</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用途说明</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是否对外发放</w:t>
            </w:r>
          </w:p>
        </w:tc>
      </w:tr>
      <w:tr>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1</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正文</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物资供应管理系统招标技术要求（V1.1）</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`docs/招标/物资供应管理系统招标技术要求-v1.1.md`</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作为招标技术要求主文件，明确项目背景、范围、模块、技术要求、实施要求和验收要求</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是</w:t>
            </w:r>
          </w:p>
        </w:tc>
      </w:tr>
      <w:tr>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2</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附件一</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功能响应清单（V1.1）</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`docs/招标/附件一-功能响应清单-v1.1.md`</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要求投标方逐项响应功能能力、实现方式及偏差情况</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是</w:t>
            </w:r>
          </w:p>
        </w:tc>
      </w:tr>
      <w:tr>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3</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附件二</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接口清单及报文示例（V1.1）</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`docs/招标/附件二-接口清单及报文示例-v1.1.md`</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明确标准接口范围、字段示例、报文格式及集成边界</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是</w:t>
            </w:r>
          </w:p>
        </w:tc>
      </w:tr>
      <w:tr>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4</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附件三</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角色权限矩阵（V1.1）</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`docs/招标/附件三-角色权限矩阵-v1.1.md`</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明确主要角色、功能权限、数据权限及审批边界</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是</w:t>
            </w:r>
          </w:p>
        </w:tc>
      </w:tr>
      <w:tr>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5</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附件四</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供应商响应模板（V1.1）</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`docs/招标/附件四-供应商响应模板-v1.1.md`</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作为投标方编写技术响应文件的统一结构模板</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是</w:t>
            </w:r>
          </w:p>
        </w:tc>
      </w:tr>
      <w:tr>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6</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附件五</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AI接入能力要求及验收条款（V1.1）</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`docs/招标/附件五-AI接入能力要求及验收条款-v1.1.md`</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明确统一AI入口接入要求、开放能力范围、Tool支撑、联调和验收标准</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是</w:t>
            </w:r>
          </w:p>
        </w:tc>
      </w:tr>
      <w:tr>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7</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附件六</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物料编码规范（V1.1）</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`docs/招标/附件六-物料编码规范-v1.1.md`</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明确物料编码、分类和扩展预留要求的引用边界</w:t>
            </w:r>
          </w:p>
        </w:tc>
        <w:tc>
          <w:tcPr>
            <w:tcW w:type="dxa" w:w="18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是</w:t>
            </w:r>
          </w:p>
        </w:tc>
      </w:tr>
    </w:tbl>
    <w:p>
      <w:pPr>
        <w:pStyle w:val="Heading2"/>
        <w:keepNext/>
        <w:jc w:val="left"/>
      </w:pPr>
      <w:r>
        <w:rPr>
          <w:rFonts w:ascii="宋体" w:hAnsi="宋体" w:eastAsia="宋体" w:cs="宋体"/>
          <w:b/>
          <w:sz w:val="28"/>
          <w:szCs w:val="28"/>
        </w:rPr>
        <w:t>三、各外发附件使用说明</w:t>
      </w:r>
    </w:p>
    <w:p>
      <w:pPr>
        <w:pStyle w:val="Heading3"/>
        <w:keepNext/>
        <w:jc w:val="left"/>
      </w:pPr>
      <w:r>
        <w:rPr>
          <w:rFonts w:ascii="宋体" w:hAnsi="宋体" w:eastAsia="宋体" w:cs="宋体"/>
          <w:b/>
          <w:sz w:val="32"/>
          <w:szCs w:val="32"/>
        </w:rPr>
        <w:t>1. 正文</w:t>
      </w:r>
    </w:p>
    <w:p>
      <w:r>
        <w:rPr>
          <w:rFonts w:ascii="宋体" w:hAnsi="宋体" w:eastAsia="宋体" w:cs="宋体"/>
          <w:sz w:val="28"/>
          <w:szCs w:val="28"/>
        </w:rPr>
        <w:t>正文负责回答以下问题：</w:t>
      </w:r>
    </w:p>
    <w:p>
      <w:r>
        <w:rPr>
          <w:rFonts w:ascii="宋体" w:hAnsi="宋体" w:eastAsia="宋体" w:cs="宋体"/>
          <w:sz w:val="28"/>
          <w:szCs w:val="28"/>
        </w:rPr>
        <w:t>- 项目为什么建设</w:t>
      </w:r>
    </w:p>
    <w:p>
      <w:r>
        <w:rPr>
          <w:rFonts w:ascii="宋体" w:hAnsi="宋体" w:eastAsia="宋体" w:cs="宋体"/>
          <w:sz w:val="28"/>
          <w:szCs w:val="28"/>
        </w:rPr>
        <w:t>- 一期范围是什么</w:t>
      </w:r>
    </w:p>
    <w:p>
      <w:r>
        <w:rPr>
          <w:rFonts w:ascii="宋体" w:hAnsi="宋体" w:eastAsia="宋体" w:cs="宋体"/>
          <w:sz w:val="28"/>
          <w:szCs w:val="28"/>
        </w:rPr>
        <w:t>- 供应商需要建设哪些模块</w:t>
      </w:r>
    </w:p>
    <w:p>
      <w:r>
        <w:rPr>
          <w:rFonts w:ascii="宋体" w:hAnsi="宋体" w:eastAsia="宋体" w:cs="宋体"/>
          <w:sz w:val="28"/>
          <w:szCs w:val="28"/>
        </w:rPr>
        <w:t>- 技术、接口、实施、验收总体要求是什么</w:t>
      </w:r>
    </w:p>
    <w:p>
      <w:r>
        <w:rPr>
          <w:rFonts w:ascii="宋体" w:hAnsi="宋体" w:eastAsia="宋体" w:cs="宋体"/>
          <w:sz w:val="28"/>
          <w:szCs w:val="28"/>
        </w:rPr>
        <w:t>正文是发标包的主体文件，附件均围绕正文展开，不单独替代正文。</w:t>
      </w:r>
    </w:p>
    <w:p>
      <w:pPr>
        <w:pStyle w:val="Heading3"/>
        <w:keepNext/>
        <w:jc w:val="left"/>
      </w:pPr>
      <w:r>
        <w:rPr>
          <w:rFonts w:ascii="宋体" w:hAnsi="宋体" w:eastAsia="宋体" w:cs="宋体"/>
          <w:b/>
          <w:sz w:val="32"/>
          <w:szCs w:val="32"/>
        </w:rPr>
        <w:t>2. 附件一：功能响应清单</w:t>
      </w:r>
    </w:p>
    <w:p>
      <w:r>
        <w:rPr>
          <w:rFonts w:ascii="宋体" w:hAnsi="宋体" w:eastAsia="宋体" w:cs="宋体"/>
          <w:sz w:val="28"/>
          <w:szCs w:val="28"/>
        </w:rPr>
        <w:t>主要用于：</w:t>
      </w:r>
    </w:p>
    <w:p>
      <w:r>
        <w:rPr>
          <w:rFonts w:ascii="宋体" w:hAnsi="宋体" w:eastAsia="宋体" w:cs="宋体"/>
          <w:sz w:val="28"/>
          <w:szCs w:val="28"/>
        </w:rPr>
        <w:t>- 要求供应商按功能项逐条响应</w:t>
      </w:r>
    </w:p>
    <w:p>
      <w:r>
        <w:rPr>
          <w:rFonts w:ascii="宋体" w:hAnsi="宋体" w:eastAsia="宋体" w:cs="宋体"/>
          <w:sz w:val="28"/>
          <w:szCs w:val="28"/>
        </w:rPr>
        <w:t>- 支撑评标时开展功能符合性比对</w:t>
      </w:r>
    </w:p>
    <w:p>
      <w:r>
        <w:rPr>
          <w:rFonts w:ascii="宋体" w:hAnsi="宋体" w:eastAsia="宋体" w:cs="宋体"/>
          <w:sz w:val="28"/>
          <w:szCs w:val="28"/>
        </w:rPr>
        <w:t>- 减少供应商只写“满足”的空泛响应</w:t>
      </w:r>
    </w:p>
    <w:p>
      <w:pPr>
        <w:pStyle w:val="Heading3"/>
        <w:keepNext/>
        <w:jc w:val="left"/>
      </w:pPr>
      <w:r>
        <w:rPr>
          <w:rFonts w:ascii="宋体" w:hAnsi="宋体" w:eastAsia="宋体" w:cs="宋体"/>
          <w:b/>
          <w:sz w:val="32"/>
          <w:szCs w:val="32"/>
        </w:rPr>
        <w:t>3. 附件二：接口清单及报文示例</w:t>
      </w:r>
    </w:p>
    <w:p>
      <w:r>
        <w:rPr>
          <w:rFonts w:ascii="宋体" w:hAnsi="宋体" w:eastAsia="宋体" w:cs="宋体"/>
          <w:sz w:val="28"/>
          <w:szCs w:val="28"/>
        </w:rPr>
        <w:t>主要用于：</w:t>
      </w:r>
    </w:p>
    <w:p>
      <w:r>
        <w:rPr>
          <w:rFonts w:ascii="宋体" w:hAnsi="宋体" w:eastAsia="宋体" w:cs="宋体"/>
          <w:sz w:val="28"/>
          <w:szCs w:val="28"/>
        </w:rPr>
        <w:t>- 约束供应商明确接口建设范围</w:t>
      </w:r>
    </w:p>
    <w:p>
      <w:r>
        <w:rPr>
          <w:rFonts w:ascii="宋体" w:hAnsi="宋体" w:eastAsia="宋体" w:cs="宋体"/>
          <w:sz w:val="28"/>
          <w:szCs w:val="28"/>
        </w:rPr>
        <w:t>- 明确 API + JSON 的集团统一接口原则</w:t>
      </w:r>
    </w:p>
    <w:p>
      <w:r>
        <w:rPr>
          <w:rFonts w:ascii="宋体" w:hAnsi="宋体" w:eastAsia="宋体" w:cs="宋体"/>
          <w:sz w:val="28"/>
          <w:szCs w:val="28"/>
        </w:rPr>
        <w:t>- 提前暴露集成复杂度，避免后续只口头承诺“可对接”</w:t>
      </w:r>
    </w:p>
    <w:p>
      <w:pPr>
        <w:pStyle w:val="Heading3"/>
        <w:keepNext/>
        <w:jc w:val="left"/>
      </w:pPr>
      <w:r>
        <w:rPr>
          <w:rFonts w:ascii="宋体" w:hAnsi="宋体" w:eastAsia="宋体" w:cs="宋体"/>
          <w:b/>
          <w:sz w:val="32"/>
          <w:szCs w:val="32"/>
        </w:rPr>
        <w:t>4. 附件三：角色权限矩阵</w:t>
      </w:r>
    </w:p>
    <w:p>
      <w:r>
        <w:rPr>
          <w:rFonts w:ascii="宋体" w:hAnsi="宋体" w:eastAsia="宋体" w:cs="宋体"/>
          <w:sz w:val="28"/>
          <w:szCs w:val="28"/>
        </w:rPr>
        <w:t>主要用于：</w:t>
      </w:r>
    </w:p>
    <w:p>
      <w:r>
        <w:rPr>
          <w:rFonts w:ascii="宋体" w:hAnsi="宋体" w:eastAsia="宋体" w:cs="宋体"/>
          <w:sz w:val="28"/>
          <w:szCs w:val="28"/>
        </w:rPr>
        <w:t>- 明确岗位、角色、审批、数据权限的控制边界</w:t>
      </w:r>
    </w:p>
    <w:p>
      <w:r>
        <w:rPr>
          <w:rFonts w:ascii="宋体" w:hAnsi="宋体" w:eastAsia="宋体" w:cs="宋体"/>
          <w:sz w:val="28"/>
          <w:szCs w:val="28"/>
        </w:rPr>
        <w:t>- 支撑供应商做权限设计和工作量评估</w:t>
      </w:r>
    </w:p>
    <w:p>
      <w:r>
        <w:rPr>
          <w:rFonts w:ascii="宋体" w:hAnsi="宋体" w:eastAsia="宋体" w:cs="宋体"/>
          <w:sz w:val="28"/>
          <w:szCs w:val="28"/>
        </w:rPr>
        <w:t>- 降低后续因权限理解不一致带来的返工</w:t>
      </w:r>
    </w:p>
    <w:p>
      <w:pPr>
        <w:pStyle w:val="Heading3"/>
        <w:keepNext/>
        <w:jc w:val="left"/>
      </w:pPr>
      <w:r>
        <w:rPr>
          <w:rFonts w:ascii="宋体" w:hAnsi="宋体" w:eastAsia="宋体" w:cs="宋体"/>
          <w:b/>
          <w:sz w:val="32"/>
          <w:szCs w:val="32"/>
        </w:rPr>
        <w:t>5. 附件四：供应商响应模板</w:t>
      </w:r>
    </w:p>
    <w:p>
      <w:r>
        <w:rPr>
          <w:rFonts w:ascii="宋体" w:hAnsi="宋体" w:eastAsia="宋体" w:cs="宋体"/>
          <w:sz w:val="28"/>
          <w:szCs w:val="28"/>
        </w:rPr>
        <w:t>主要用于：</w:t>
      </w:r>
    </w:p>
    <w:p>
      <w:r>
        <w:rPr>
          <w:rFonts w:ascii="宋体" w:hAnsi="宋体" w:eastAsia="宋体" w:cs="宋体"/>
          <w:sz w:val="28"/>
          <w:szCs w:val="28"/>
        </w:rPr>
        <w:t>- 统一投标方技术响应结构</w:t>
      </w:r>
    </w:p>
    <w:p>
      <w:r>
        <w:rPr>
          <w:rFonts w:ascii="宋体" w:hAnsi="宋体" w:eastAsia="宋体" w:cs="宋体"/>
          <w:sz w:val="28"/>
          <w:szCs w:val="28"/>
        </w:rPr>
        <w:t>- 便于横向比较不同供应商方案</w:t>
      </w:r>
    </w:p>
    <w:p>
      <w:r>
        <w:rPr>
          <w:rFonts w:ascii="宋体" w:hAnsi="宋体" w:eastAsia="宋体" w:cs="宋体"/>
          <w:sz w:val="28"/>
          <w:szCs w:val="28"/>
        </w:rPr>
        <w:t>- 引导供应商重点回答系统方案、接口、AI接入、设备租赁、NC协同等重点内容</w:t>
      </w:r>
    </w:p>
    <w:p>
      <w:pPr>
        <w:pStyle w:val="Heading3"/>
        <w:keepNext/>
        <w:jc w:val="left"/>
      </w:pPr>
      <w:r>
        <w:rPr>
          <w:rFonts w:ascii="宋体" w:hAnsi="宋体" w:eastAsia="宋体" w:cs="宋体"/>
          <w:b/>
          <w:sz w:val="32"/>
          <w:szCs w:val="32"/>
        </w:rPr>
        <w:t>6. 附件五：AI接入能力要求及验收条款</w:t>
      </w:r>
    </w:p>
    <w:p>
      <w:r>
        <w:rPr>
          <w:rFonts w:ascii="宋体" w:hAnsi="宋体" w:eastAsia="宋体" w:cs="宋体"/>
          <w:sz w:val="28"/>
          <w:szCs w:val="28"/>
        </w:rPr>
        <w:t>主要用于：</w:t>
      </w:r>
    </w:p>
    <w:p>
      <w:r>
        <w:rPr>
          <w:rFonts w:ascii="宋体" w:hAnsi="宋体" w:eastAsia="宋体" w:cs="宋体"/>
          <w:sz w:val="28"/>
          <w:szCs w:val="28"/>
        </w:rPr>
        <w:t>- 明确 AI 接入为正式要求，不是可选加分项</w:t>
      </w:r>
    </w:p>
    <w:p>
      <w:r>
        <w:rPr>
          <w:rFonts w:ascii="宋体" w:hAnsi="宋体" w:eastAsia="宋体" w:cs="宋体"/>
          <w:sz w:val="28"/>
          <w:szCs w:val="28"/>
        </w:rPr>
        <w:t>- 强调统一AI入口、统一权限、统一日志审计要求</w:t>
      </w:r>
    </w:p>
    <w:p>
      <w:r>
        <w:rPr>
          <w:rFonts w:ascii="宋体" w:hAnsi="宋体" w:eastAsia="宋体" w:cs="宋体"/>
          <w:sz w:val="28"/>
          <w:szCs w:val="28"/>
        </w:rPr>
        <w:t>- 作为后续AI联调和验收的专项依据</w:t>
      </w:r>
    </w:p>
    <w:p>
      <w:pPr>
        <w:pStyle w:val="Heading3"/>
        <w:keepNext/>
        <w:jc w:val="left"/>
      </w:pPr>
      <w:r>
        <w:rPr>
          <w:rFonts w:ascii="宋体" w:hAnsi="宋体" w:eastAsia="宋体" w:cs="宋体"/>
          <w:b/>
          <w:sz w:val="32"/>
          <w:szCs w:val="32"/>
        </w:rPr>
        <w:t>7. 附件六：物料编码规范</w:t>
      </w:r>
    </w:p>
    <w:p>
      <w:r>
        <w:rPr>
          <w:rFonts w:ascii="宋体" w:hAnsi="宋体" w:eastAsia="宋体" w:cs="宋体"/>
          <w:sz w:val="28"/>
          <w:szCs w:val="28"/>
        </w:rPr>
        <w:t>主要用于：</w:t>
      </w:r>
    </w:p>
    <w:p>
      <w:r>
        <w:rPr>
          <w:rFonts w:ascii="宋体" w:hAnsi="宋体" w:eastAsia="宋体" w:cs="宋体"/>
          <w:sz w:val="28"/>
          <w:szCs w:val="28"/>
        </w:rPr>
        <w:t>- 明确编码规范来源和边界</w:t>
      </w:r>
    </w:p>
    <w:p>
      <w:r>
        <w:rPr>
          <w:rFonts w:ascii="宋体" w:hAnsi="宋体" w:eastAsia="宋体" w:cs="宋体"/>
          <w:sz w:val="28"/>
          <w:szCs w:val="28"/>
        </w:rPr>
        <w:t>- 约束投标方在主数据设计时遵循现有编码规则</w:t>
      </w:r>
    </w:p>
    <w:p>
      <w:r>
        <w:rPr>
          <w:rFonts w:ascii="宋体" w:hAnsi="宋体" w:eastAsia="宋体" w:cs="宋体"/>
          <w:sz w:val="28"/>
          <w:szCs w:val="28"/>
        </w:rPr>
        <w:t>- 为后续辽宁能源统一编码扩展预留接口和字段基础</w:t>
      </w:r>
    </w:p>
    <w:p>
      <w:pPr>
        <w:pStyle w:val="Heading2"/>
        <w:keepNext/>
        <w:jc w:val="left"/>
      </w:pPr>
      <w:r>
        <w:rPr>
          <w:rFonts w:ascii="宋体" w:hAnsi="宋体" w:eastAsia="宋体" w:cs="宋体"/>
          <w:b/>
          <w:sz w:val="28"/>
          <w:szCs w:val="28"/>
        </w:rPr>
        <w:t>四、内部留存但不随标外发的文档</w:t>
      </w:r>
    </w:p>
    <w:p>
      <w:r>
        <w:rPr>
          <w:rFonts w:ascii="宋体" w:hAnsi="宋体" w:eastAsia="宋体" w:cs="宋体"/>
          <w:sz w:val="28"/>
          <w:szCs w:val="28"/>
        </w:rPr>
        <w:t>以下文档建议作为内部工作底稿、管理沟通材料或实施准备材料保留，不直接作为对外发标文件发送：</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3600"/>
        <w:gridCol w:w="3600"/>
      </w:tblGrid>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类别</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文档</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说明</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需求梳理</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`docs/需求梳理/00-11` 系列文档</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用于需求治理、内部对齐、边界确认和招标准备，不直接对外</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集团统筹</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`docs/集团统筹/集团业务系统统一建设原则-V2.0.md`</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作为上位原则内部掌握，可视需要择要吸收入正文或答疑文件</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AI专题底稿</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`docs/集团统筹/AI接入专题/*`</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作为附件五的编制依据和联调准备材料，不单独外发</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详细规则</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`docs/详细规则/物资管理与财务接口规范.md`</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偏详细设计和联调规则，作为内部联调底稿留存，不作为随标附件直接发放</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详细规则</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`docs/详细规则/物资编码规范文档.md`</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附件六已按方案 A 摘要嵌入核心规则，本文档作为内部深度参考留存，不随标外发</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需求梳理（权限）</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`docs/需求梳理/07-角色权限与审批矩阵-V1.0.md`</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附件三已按方案 A 摘要嵌入核心矩阵，本文档作为内部实施配置深度参考留存，不随标外发</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报审来源</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`报审-物管系统开发项目功能及需求报告.docx`</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作为来源追溯材料，不直接外发</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管理工作底稿</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`docs/招标/发标准备-下一步工作清单-v1.1.md`</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内部推进清单，不外发</w:t>
            </w:r>
          </w:p>
        </w:tc>
      </w:tr>
    </w:tbl>
    <w:p>
      <w:pPr>
        <w:pStyle w:val="Heading2"/>
        <w:keepNext/>
        <w:jc w:val="left"/>
      </w:pPr>
      <w:r>
        <w:rPr>
          <w:rFonts w:ascii="宋体" w:hAnsi="宋体" w:eastAsia="宋体" w:cs="宋体"/>
          <w:b/>
          <w:sz w:val="28"/>
          <w:szCs w:val="28"/>
        </w:rPr>
        <w:t>五、建议的发标包目录结构</w:t>
      </w:r>
    </w:p>
    <w:p>
      <w:r>
        <w:rPr>
          <w:rFonts w:ascii="宋体" w:hAnsi="宋体" w:eastAsia="宋体" w:cs="宋体"/>
          <w:sz w:val="28"/>
          <w:szCs w:val="28"/>
        </w:rPr>
        <w:t>如后续需要形成正式发标目录或压缩包，建议采用以下结构：</w:t>
      </w:r>
    </w:p>
    <w:p>
      <w:r>
        <w:rPr>
          <w:rFonts w:ascii="宋体" w:hAnsi="宋体" w:eastAsia="宋体" w:cs="宋体"/>
          <w:sz w:val="28"/>
          <w:szCs w:val="28"/>
        </w:rPr>
        <w:t>```text</w:t>
      </w:r>
    </w:p>
    <w:p>
      <w:r>
        <w:rPr>
          <w:rFonts w:ascii="宋体" w:hAnsi="宋体" w:eastAsia="宋体" w:cs="宋体"/>
          <w:sz w:val="28"/>
          <w:szCs w:val="28"/>
        </w:rPr>
        <w:t>物资供应管理系统发标包-V1.1/</w:t>
      </w:r>
    </w:p>
    <w:p>
      <w:r>
        <w:rPr>
          <w:rFonts w:ascii="宋体" w:hAnsi="宋体" w:eastAsia="宋体" w:cs="宋体"/>
          <w:sz w:val="28"/>
          <w:szCs w:val="28"/>
        </w:rPr>
        <w:t>├── 01-招标正文/</w:t>
      </w:r>
    </w:p>
    <w:p>
      <w:r>
        <w:rPr>
          <w:rFonts w:ascii="宋体" w:hAnsi="宋体" w:eastAsia="宋体" w:cs="宋体"/>
          <w:sz w:val="28"/>
          <w:szCs w:val="28"/>
        </w:rPr>
        <w:t>│   └── 物资供应管理系统招标技术要求-v1.1.docx/pdf</w:t>
      </w:r>
    </w:p>
    <w:p>
      <w:r>
        <w:rPr>
          <w:rFonts w:ascii="宋体" w:hAnsi="宋体" w:eastAsia="宋体" w:cs="宋体"/>
          <w:sz w:val="28"/>
          <w:szCs w:val="28"/>
        </w:rPr>
        <w:t>├── 02-配套附件/</w:t>
      </w:r>
    </w:p>
    <w:p>
      <w:r>
        <w:rPr>
          <w:rFonts w:ascii="宋体" w:hAnsi="宋体" w:eastAsia="宋体" w:cs="宋体"/>
          <w:sz w:val="28"/>
          <w:szCs w:val="28"/>
        </w:rPr>
        <w:t>│   ├── 附件一-功能响应清单-v1.1.docx/pdf</w:t>
      </w:r>
    </w:p>
    <w:p>
      <w:r>
        <w:rPr>
          <w:rFonts w:ascii="宋体" w:hAnsi="宋体" w:eastAsia="宋体" w:cs="宋体"/>
          <w:sz w:val="28"/>
          <w:szCs w:val="28"/>
        </w:rPr>
        <w:t>│   ├── 附件二-接口清单及报文示例-v1.1.docx/pdf</w:t>
      </w:r>
    </w:p>
    <w:p>
      <w:r>
        <w:rPr>
          <w:rFonts w:ascii="宋体" w:hAnsi="宋体" w:eastAsia="宋体" w:cs="宋体"/>
          <w:sz w:val="28"/>
          <w:szCs w:val="28"/>
        </w:rPr>
        <w:t>│   ├── 附件三-角色权限矩阵-v1.1.docx/pdf</w:t>
      </w:r>
    </w:p>
    <w:p>
      <w:r>
        <w:rPr>
          <w:rFonts w:ascii="宋体" w:hAnsi="宋体" w:eastAsia="宋体" w:cs="宋体"/>
          <w:sz w:val="28"/>
          <w:szCs w:val="28"/>
        </w:rPr>
        <w:t>│   ├── 附件四-供应商响应模板-v1.1.docx</w:t>
      </w:r>
    </w:p>
    <w:p>
      <w:r>
        <w:rPr>
          <w:rFonts w:ascii="宋体" w:hAnsi="宋体" w:eastAsia="宋体" w:cs="宋体"/>
          <w:sz w:val="28"/>
          <w:szCs w:val="28"/>
        </w:rPr>
        <w:t>│   ├── 附件五-AI接入能力要求及验收条款-v1.1.docx/pdf</w:t>
      </w:r>
    </w:p>
    <w:p>
      <w:r>
        <w:rPr>
          <w:rFonts w:ascii="宋体" w:hAnsi="宋体" w:eastAsia="宋体" w:cs="宋体"/>
          <w:sz w:val="28"/>
          <w:szCs w:val="28"/>
        </w:rPr>
        <w:t>│   └── 附件六-物料编码规范-v1.1.docx/pdf</w:t>
      </w:r>
    </w:p>
    <w:p>
      <w:r>
        <w:rPr>
          <w:rFonts w:ascii="宋体" w:hAnsi="宋体" w:eastAsia="宋体" w:cs="宋体"/>
          <w:sz w:val="28"/>
          <w:szCs w:val="28"/>
        </w:rPr>
        <w:t>└── 03-说明文件/</w:t>
      </w:r>
    </w:p>
    <w:p>
      <w:r>
        <w:rPr>
          <w:rFonts w:ascii="宋体" w:hAnsi="宋体" w:eastAsia="宋体" w:cs="宋体"/>
          <w:sz w:val="28"/>
          <w:szCs w:val="28"/>
        </w:rPr>
        <w:t>└── 发标包附件说明-v1.1.docx/pdf</w:t>
      </w:r>
    </w:p>
    <w:p>
      <w:r>
        <w:rPr>
          <w:rFonts w:ascii="宋体" w:hAnsi="宋体" w:eastAsia="宋体" w:cs="宋体"/>
          <w:sz w:val="28"/>
          <w:szCs w:val="28"/>
        </w:rPr>
        <w:t>```</w:t>
      </w:r>
    </w:p>
    <w:p>
      <w:r>
        <w:rPr>
          <w:rFonts w:ascii="宋体" w:hAnsi="宋体" w:eastAsia="宋体" w:cs="宋体"/>
          <w:sz w:val="28"/>
          <w:szCs w:val="28"/>
        </w:rPr>
        <w:t>说明：</w:t>
      </w:r>
    </w:p>
    <w:p>
      <w:r>
        <w:rPr>
          <w:rFonts w:ascii="宋体" w:hAnsi="宋体" w:eastAsia="宋体" w:cs="宋体"/>
          <w:sz w:val="28"/>
          <w:szCs w:val="28"/>
        </w:rPr>
        <w:t>- 仓库中的 Markdown 文件作为源文件管理</w:t>
      </w:r>
    </w:p>
    <w:p>
      <w:r>
        <w:rPr>
          <w:rFonts w:ascii="宋体" w:hAnsi="宋体" w:eastAsia="宋体" w:cs="宋体"/>
          <w:sz w:val="28"/>
          <w:szCs w:val="28"/>
        </w:rPr>
        <w:t>- 对外正式发放时，建议统一转成 Word 或 PDF 版本</w:t>
      </w:r>
    </w:p>
    <w:p>
      <w:r>
        <w:rPr>
          <w:rFonts w:ascii="宋体" w:hAnsi="宋体" w:eastAsia="宋体" w:cs="宋体"/>
          <w:sz w:val="28"/>
          <w:szCs w:val="28"/>
        </w:rPr>
        <w:t>- 供应商响应模板建议保留可编辑 Word 版</w:t>
      </w:r>
    </w:p>
    <w:p>
      <w:pPr>
        <w:pStyle w:val="Heading2"/>
        <w:keepNext/>
        <w:jc w:val="left"/>
      </w:pPr>
      <w:r>
        <w:rPr>
          <w:rFonts w:ascii="宋体" w:hAnsi="宋体" w:eastAsia="宋体" w:cs="宋体"/>
          <w:b/>
          <w:sz w:val="28"/>
          <w:szCs w:val="28"/>
        </w:rPr>
        <w:t>六、版本与发放控制建议</w:t>
      </w:r>
    </w:p>
    <w:p>
      <w:pPr>
        <w:pStyle w:val="Heading3"/>
        <w:keepNext/>
        <w:jc w:val="left"/>
      </w:pPr>
      <w:r>
        <w:rPr>
          <w:rFonts w:ascii="宋体" w:hAnsi="宋体" w:eastAsia="宋体" w:cs="宋体"/>
          <w:b/>
          <w:sz w:val="32"/>
          <w:szCs w:val="32"/>
        </w:rPr>
        <w:t>1. 版本控制</w:t>
      </w:r>
    </w:p>
    <w:p>
      <w:r>
        <w:rPr>
          <w:rFonts w:ascii="宋体" w:hAnsi="宋体" w:eastAsia="宋体" w:cs="宋体"/>
          <w:sz w:val="28"/>
          <w:szCs w:val="28"/>
        </w:rPr>
        <w:t>- 本轮发标建议统一采用 `V1.1`</w:t>
      </w:r>
    </w:p>
    <w:p>
      <w:r>
        <w:rPr>
          <w:rFonts w:ascii="宋体" w:hAnsi="宋体" w:eastAsia="宋体" w:cs="宋体"/>
          <w:sz w:val="28"/>
          <w:szCs w:val="28"/>
        </w:rPr>
        <w:t>- 正文与附件版本号应保持一致</w:t>
      </w:r>
    </w:p>
    <w:p>
      <w:r>
        <w:rPr>
          <w:rFonts w:ascii="宋体" w:hAnsi="宋体" w:eastAsia="宋体" w:cs="宋体"/>
          <w:sz w:val="28"/>
          <w:szCs w:val="28"/>
        </w:rPr>
        <w:t>- 如发标后有澄清修改，应通过“澄清文件/补遗文件”管理，不建议直接覆盖原发标版本</w:t>
      </w:r>
    </w:p>
    <w:p>
      <w:pPr>
        <w:pStyle w:val="Heading3"/>
        <w:keepNext/>
        <w:jc w:val="left"/>
      </w:pPr>
      <w:r>
        <w:rPr>
          <w:rFonts w:ascii="宋体" w:hAnsi="宋体" w:eastAsia="宋体" w:cs="宋体"/>
          <w:b/>
          <w:sz w:val="32"/>
          <w:szCs w:val="32"/>
        </w:rPr>
        <w:t>2. 发放控制</w:t>
      </w:r>
    </w:p>
    <w:p>
      <w:r>
        <w:rPr>
          <w:rFonts w:ascii="宋体" w:hAnsi="宋体" w:eastAsia="宋体" w:cs="宋体"/>
          <w:sz w:val="28"/>
          <w:szCs w:val="28"/>
        </w:rPr>
        <w:t>建议明确以下信息：</w:t>
      </w:r>
    </w:p>
    <w:p>
      <w:r>
        <w:rPr>
          <w:rFonts w:ascii="宋体" w:hAnsi="宋体" w:eastAsia="宋体" w:cs="宋体"/>
          <w:sz w:val="28"/>
          <w:szCs w:val="28"/>
        </w:rPr>
        <w:t>- 发放日期</w:t>
      </w:r>
    </w:p>
    <w:p>
      <w:r>
        <w:rPr>
          <w:rFonts w:ascii="宋体" w:hAnsi="宋体" w:eastAsia="宋体" w:cs="宋体"/>
          <w:sz w:val="28"/>
          <w:szCs w:val="28"/>
        </w:rPr>
        <w:t>- 发放对象</w:t>
      </w:r>
    </w:p>
    <w:p>
      <w:r>
        <w:rPr>
          <w:rFonts w:ascii="宋体" w:hAnsi="宋体" w:eastAsia="宋体" w:cs="宋体"/>
          <w:sz w:val="28"/>
          <w:szCs w:val="28"/>
        </w:rPr>
        <w:t>- 发放渠道</w:t>
      </w:r>
    </w:p>
    <w:p>
      <w:r>
        <w:rPr>
          <w:rFonts w:ascii="宋体" w:hAnsi="宋体" w:eastAsia="宋体" w:cs="宋体"/>
          <w:sz w:val="28"/>
          <w:szCs w:val="28"/>
        </w:rPr>
        <w:t>- 是否盖章</w:t>
      </w:r>
    </w:p>
    <w:p>
      <w:r>
        <w:rPr>
          <w:rFonts w:ascii="宋体" w:hAnsi="宋体" w:eastAsia="宋体" w:cs="宋体"/>
          <w:sz w:val="28"/>
          <w:szCs w:val="28"/>
        </w:rPr>
        <w:t>- 是否以 PDF 为准</w:t>
      </w:r>
    </w:p>
    <w:p>
      <w:r>
        <w:rPr>
          <w:rFonts w:ascii="宋体" w:hAnsi="宋体" w:eastAsia="宋体" w:cs="宋体"/>
          <w:sz w:val="28"/>
          <w:szCs w:val="28"/>
        </w:rPr>
        <w:t>- 是否允许供应商就附件二、附件五提出专项答疑</w:t>
      </w:r>
    </w:p>
    <w:p>
      <w:pPr>
        <w:pStyle w:val="Heading3"/>
        <w:keepNext/>
        <w:jc w:val="left"/>
      </w:pPr>
      <w:r>
        <w:rPr>
          <w:rFonts w:ascii="宋体" w:hAnsi="宋体" w:eastAsia="宋体" w:cs="宋体"/>
          <w:b/>
          <w:sz w:val="32"/>
          <w:szCs w:val="32"/>
        </w:rPr>
        <w:t>3. 内外口径控制</w:t>
      </w:r>
    </w:p>
    <w:p>
      <w:r>
        <w:rPr>
          <w:rFonts w:ascii="宋体" w:hAnsi="宋体" w:eastAsia="宋体" w:cs="宋体"/>
          <w:sz w:val="28"/>
          <w:szCs w:val="28"/>
        </w:rPr>
        <w:t>外发材料应以正文和 6 个附件为准；内部底稿和讨论稿不得与外发版本长期并行且口径不一致。</w:t>
      </w:r>
    </w:p>
    <w:p>
      <w:pPr>
        <w:pStyle w:val="Heading2"/>
        <w:keepNext/>
        <w:jc w:val="left"/>
      </w:pPr>
      <w:r>
        <w:rPr>
          <w:rFonts w:ascii="宋体" w:hAnsi="宋体" w:eastAsia="宋体" w:cs="宋体"/>
          <w:b/>
          <w:sz w:val="28"/>
          <w:szCs w:val="28"/>
        </w:rPr>
        <w:t>七、一句话结论</w:t>
      </w:r>
    </w:p>
    <w:p>
      <w:r>
        <w:rPr>
          <w:rFonts w:ascii="宋体" w:hAnsi="宋体" w:eastAsia="宋体" w:cs="宋体"/>
          <w:b/>
          <w:sz w:val="28"/>
          <w:szCs w:val="28"/>
        </w:rPr>
        <w:t>当前发标包建议收敛为“1个正文 + 6个附件”，其余材料作为内部底稿和发标准备支撑文件留存。</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rP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rP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s="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s="宋体"/>
    </w:rPr>
  </w:style>
  <w:style w:type="character" w:customStyle="1" w:styleId="HeaderChar">
    <w:name w:val="Header Char"/>
    <w:basedOn w:val="DefaultParagraphFont"/>
    <w:link w:val="Header"/>
    <w:uiPriority w:val="99"/>
    <w:rsid w:val="00E618BF"/>
    <w:rPr>
      <w:rFonts w:ascii="宋体" w:hAnsi="宋体" w:eastAsia="宋体" w:cs="宋体"/>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s="宋体"/>
    </w:rPr>
  </w:style>
  <w:style w:type="character" w:customStyle="1" w:styleId="FooterChar">
    <w:name w:val="Footer Char"/>
    <w:basedOn w:val="DefaultParagraphFont"/>
    <w:link w:val="Footer"/>
    <w:uiPriority w:val="99"/>
    <w:rsid w:val="00E618BF"/>
    <w:rPr>
      <w:rFonts w:ascii="宋体" w:hAnsi="宋体" w:eastAsia="宋体" w:cs="宋体"/>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cs="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cs="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cs="宋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eastAsia="宋体" w:cs="宋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eastAsia="宋体" w:cs="宋体"/>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eastAsia="宋体" w:cs="宋体"/>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宋体" w:hAnsi="宋体" w:eastAsia="宋体" w:cs="宋体"/>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宋体" w:hAnsi="宋体" w:eastAsia="宋体" w:cs="宋体"/>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宋体" w:hAnsi="宋体" w:eastAsia="宋体" w:cs="宋体"/>
      <w:i/>
      <w:iCs/>
      <w:color w:val="404040" w:themeColor="text1" w:themeTint="BF"/>
      <w:sz w:val="20"/>
      <w:szCs w:val="20"/>
    </w:rPr>
  </w:style>
  <w:style w:type="character" w:default="1" w:styleId="DefaultParagraphFont">
    <w:name w:val="Default Paragraph Font"/>
    <w:uiPriority w:val="1"/>
    <w:semiHidden/>
    <w:unhideWhenUsed/>
    <w:rPr>
      <w:rFonts w:ascii="宋体" w:hAnsi="宋体" w:eastAsia="宋体" w:cs="宋体"/>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宋体" w:hAnsi="宋体" w:eastAsia="宋体" w:cs="宋体"/>
    </w:rPr>
  </w:style>
  <w:style w:type="numbering" w:default="1" w:styleId="NoList">
    <w:name w:val="No List"/>
    <w:uiPriority w:val="99"/>
    <w:semiHidden/>
    <w:unhideWhenUsed/>
    <w:rPr>
      <w:rFonts w:ascii="宋体" w:hAnsi="宋体" w:eastAsia="宋体" w:cs="宋体"/>
    </w:rPr>
  </w:style>
  <w:style w:type="paragraph" w:styleId="NoSpacing">
    <w:name w:val="No Spacing"/>
    <w:uiPriority w:val="1"/>
    <w:qFormat/>
    <w:rsid w:val="00FC693F"/>
    <w:pPr>
      <w:spacing w:after="0" w:line="240" w:lineRule="auto"/>
    </w:pPr>
    <w:rPr>
      <w:rFonts w:ascii="宋体" w:hAnsi="宋体" w:eastAsia="宋体" w:cs="宋体"/>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宋体" w:hAnsi="宋体" w:eastAsia="宋体" w:cs="宋体"/>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宋体" w:hAnsi="宋体" w:eastAsia="宋体" w:cs="宋体"/>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宋体" w:hAnsi="宋体" w:eastAsia="宋体" w:cs="宋体"/>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s="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宋体" w:hAnsi="宋体" w:eastAsia="宋体" w:cs="宋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宋体" w:hAnsi="宋体" w:eastAsia="宋体" w:cs="宋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宋体" w:hAnsi="宋体" w:eastAsia="宋体" w:cs="宋体"/>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宋体" w:hAnsi="宋体" w:eastAsia="宋体" w:cs="宋体"/>
    </w:rPr>
  </w:style>
  <w:style w:type="paragraph" w:styleId="BodyText">
    <w:name w:val="Body Text"/>
    <w:basedOn w:val="Normal"/>
    <w:link w:val="BodyTextChar"/>
    <w:uiPriority w:val="99"/>
    <w:unhideWhenUsed/>
    <w:rsid w:val="00AA1D8D"/>
    <w:pPr>
      <w:spacing w:after="120"/>
    </w:pPr>
    <w:rPr>
      <w:rFonts w:ascii="宋体" w:hAnsi="宋体" w:eastAsia="宋体" w:cs="宋体"/>
    </w:rPr>
  </w:style>
  <w:style w:type="character" w:customStyle="1" w:styleId="BodyTextChar">
    <w:name w:val="Body Text Char"/>
    <w:basedOn w:val="DefaultParagraphFont"/>
    <w:link w:val="BodyText"/>
    <w:uiPriority w:val="99"/>
    <w:rsid w:val="00AA1D8D"/>
    <w:rPr>
      <w:rFonts w:ascii="宋体" w:hAnsi="宋体" w:eastAsia="宋体" w:cs="宋体"/>
    </w:rPr>
  </w:style>
  <w:style w:type="paragraph" w:styleId="BodyText2">
    <w:name w:val="Body Text 2"/>
    <w:basedOn w:val="Normal"/>
    <w:link w:val="BodyText2Char"/>
    <w:uiPriority w:val="99"/>
    <w:unhideWhenUsed/>
    <w:rsid w:val="00AA1D8D"/>
    <w:pPr>
      <w:spacing w:after="120" w:line="480" w:lineRule="auto"/>
    </w:pPr>
    <w:rPr>
      <w:rFonts w:ascii="宋体" w:hAnsi="宋体" w:eastAsia="宋体" w:cs="宋体"/>
    </w:rPr>
  </w:style>
  <w:style w:type="character" w:customStyle="1" w:styleId="BodyText2Char">
    <w:name w:val="Body Text 2 Char"/>
    <w:basedOn w:val="DefaultParagraphFont"/>
    <w:link w:val="BodyText2"/>
    <w:uiPriority w:val="99"/>
    <w:rsid w:val="00AA1D8D"/>
    <w:rPr>
      <w:rFonts w:ascii="宋体" w:hAnsi="宋体" w:eastAsia="宋体" w:cs="宋体"/>
    </w:rPr>
  </w:style>
  <w:style w:type="paragraph" w:styleId="BodyText3">
    <w:name w:val="Body Text 3"/>
    <w:basedOn w:val="Normal"/>
    <w:link w:val="BodyText3Char"/>
    <w:uiPriority w:val="99"/>
    <w:unhideWhenUsed/>
    <w:rsid w:val="00AA1D8D"/>
    <w:pPr>
      <w:spacing w:after="120"/>
    </w:pPr>
    <w:rPr>
      <w:rFonts w:ascii="宋体" w:hAnsi="宋体" w:eastAsia="宋体" w:cs="宋体"/>
      <w:sz w:val="16"/>
      <w:szCs w:val="16"/>
    </w:rPr>
  </w:style>
  <w:style w:type="character" w:customStyle="1" w:styleId="BodyText3Char">
    <w:name w:val="Body Text 3 Char"/>
    <w:basedOn w:val="DefaultParagraphFont"/>
    <w:link w:val="BodyText3"/>
    <w:uiPriority w:val="99"/>
    <w:rsid w:val="00AA1D8D"/>
    <w:rPr>
      <w:rFonts w:ascii="宋体" w:hAnsi="宋体" w:eastAsia="宋体" w:cs="宋体"/>
      <w:sz w:val="16"/>
      <w:szCs w:val="16"/>
    </w:rPr>
  </w:style>
  <w:style w:type="paragraph" w:styleId="List">
    <w:name w:val="List"/>
    <w:basedOn w:val="Normal"/>
    <w:uiPriority w:val="99"/>
    <w:unhideWhenUsed/>
    <w:rsid w:val="00AA1D8D"/>
    <w:pPr>
      <w:ind w:left="360" w:hanging="360"/>
      <w:contextualSpacing/>
    </w:pPr>
    <w:rPr>
      <w:rFonts w:ascii="宋体" w:hAnsi="宋体" w:eastAsia="宋体" w:cs="宋体"/>
    </w:rPr>
  </w:style>
  <w:style w:type="paragraph" w:styleId="List2">
    <w:name w:val="List 2"/>
    <w:basedOn w:val="Normal"/>
    <w:uiPriority w:val="99"/>
    <w:unhideWhenUsed/>
    <w:rsid w:val="00326F90"/>
    <w:pPr>
      <w:ind w:left="720" w:hanging="360"/>
      <w:contextualSpacing/>
    </w:pPr>
    <w:rPr>
      <w:rFonts w:ascii="宋体" w:hAnsi="宋体" w:eastAsia="宋体" w:cs="宋体"/>
    </w:rPr>
  </w:style>
  <w:style w:type="paragraph" w:styleId="List3">
    <w:name w:val="List 3"/>
    <w:basedOn w:val="Normal"/>
    <w:uiPriority w:val="99"/>
    <w:unhideWhenUsed/>
    <w:rsid w:val="00326F90"/>
    <w:pPr>
      <w:ind w:left="1080" w:hanging="360"/>
      <w:contextualSpacing/>
    </w:pPr>
    <w:rPr>
      <w:rFonts w:ascii="宋体" w:hAnsi="宋体" w:eastAsia="宋体" w:cs="宋体"/>
    </w:rPr>
  </w:style>
  <w:style w:type="paragraph" w:styleId="ListBullet">
    <w:name w:val="List Bullet"/>
    <w:basedOn w:val="Normal"/>
    <w:uiPriority w:val="99"/>
    <w:unhideWhenUsed/>
    <w:rsid w:val="00326F90"/>
    <w:pPr>
      <w:numPr>
        <w:numId w:val="1"/>
      </w:numPr>
      <w:contextualSpacing/>
    </w:pPr>
    <w:rPr>
      <w:rFonts w:ascii="宋体" w:hAnsi="宋体" w:eastAsia="宋体" w:cs="宋体"/>
    </w:rPr>
  </w:style>
  <w:style w:type="paragraph" w:styleId="ListBullet2">
    <w:name w:val="List Bullet 2"/>
    <w:basedOn w:val="Normal"/>
    <w:uiPriority w:val="99"/>
    <w:unhideWhenUsed/>
    <w:rsid w:val="00326F90"/>
    <w:pPr>
      <w:numPr>
        <w:numId w:val="2"/>
      </w:numPr>
      <w:contextualSpacing/>
    </w:pPr>
    <w:rPr>
      <w:rFonts w:ascii="宋体" w:hAnsi="宋体" w:eastAsia="宋体" w:cs="宋体"/>
    </w:rPr>
  </w:style>
  <w:style w:type="paragraph" w:styleId="ListBullet3">
    <w:name w:val="List Bullet 3"/>
    <w:basedOn w:val="Normal"/>
    <w:uiPriority w:val="99"/>
    <w:unhideWhenUsed/>
    <w:rsid w:val="00326F90"/>
    <w:pPr>
      <w:numPr>
        <w:numId w:val="3"/>
      </w:numPr>
      <w:contextualSpacing/>
    </w:pPr>
    <w:rPr>
      <w:rFonts w:ascii="宋体" w:hAnsi="宋体" w:eastAsia="宋体" w:cs="宋体"/>
    </w:rPr>
  </w:style>
  <w:style w:type="paragraph" w:styleId="ListNumber">
    <w:name w:val="List Number"/>
    <w:basedOn w:val="Normal"/>
    <w:uiPriority w:val="99"/>
    <w:unhideWhenUsed/>
    <w:rsid w:val="00326F90"/>
    <w:pPr>
      <w:numPr>
        <w:numId w:val="5"/>
      </w:numPr>
      <w:contextualSpacing/>
    </w:pPr>
    <w:rPr>
      <w:rFonts w:ascii="宋体" w:hAnsi="宋体" w:eastAsia="宋体" w:cs="宋体"/>
    </w:rPr>
  </w:style>
  <w:style w:type="paragraph" w:styleId="ListNumber2">
    <w:name w:val="List Number 2"/>
    <w:basedOn w:val="Normal"/>
    <w:uiPriority w:val="99"/>
    <w:unhideWhenUsed/>
    <w:rsid w:val="0029639D"/>
    <w:pPr>
      <w:numPr>
        <w:numId w:val="6"/>
      </w:numPr>
      <w:contextualSpacing/>
    </w:pPr>
    <w:rPr>
      <w:rFonts w:ascii="宋体" w:hAnsi="宋体" w:eastAsia="宋体" w:cs="宋体"/>
    </w:rPr>
  </w:style>
  <w:style w:type="paragraph" w:styleId="ListNumber3">
    <w:name w:val="List Number 3"/>
    <w:basedOn w:val="Normal"/>
    <w:uiPriority w:val="99"/>
    <w:unhideWhenUsed/>
    <w:rsid w:val="0029639D"/>
    <w:pPr>
      <w:numPr>
        <w:numId w:val="7"/>
      </w:numPr>
      <w:contextualSpacing/>
    </w:pPr>
    <w:rPr>
      <w:rFonts w:ascii="宋体" w:hAnsi="宋体" w:eastAsia="宋体" w:cs="宋体"/>
    </w:rPr>
  </w:style>
  <w:style w:type="paragraph" w:styleId="ListContinue">
    <w:name w:val="List Continue"/>
    <w:basedOn w:val="Normal"/>
    <w:uiPriority w:val="99"/>
    <w:unhideWhenUsed/>
    <w:rsid w:val="0029639D"/>
    <w:pPr>
      <w:spacing w:after="120"/>
      <w:ind w:left="360"/>
      <w:contextualSpacing/>
    </w:pPr>
    <w:rPr>
      <w:rFonts w:ascii="宋体" w:hAnsi="宋体" w:eastAsia="宋体" w:cs="宋体"/>
    </w:rPr>
  </w:style>
  <w:style w:type="paragraph" w:styleId="ListContinue2">
    <w:name w:val="List Continue 2"/>
    <w:basedOn w:val="Normal"/>
    <w:uiPriority w:val="99"/>
    <w:unhideWhenUsed/>
    <w:rsid w:val="0029639D"/>
    <w:pPr>
      <w:spacing w:after="120"/>
      <w:ind w:left="720"/>
      <w:contextualSpacing/>
    </w:pPr>
    <w:rPr>
      <w:rFonts w:ascii="宋体" w:hAnsi="宋体" w:eastAsia="宋体" w:cs="宋体"/>
    </w:rPr>
  </w:style>
  <w:style w:type="paragraph" w:styleId="ListContinue3">
    <w:name w:val="List Continue 3"/>
    <w:basedOn w:val="Normal"/>
    <w:uiPriority w:val="99"/>
    <w:unhideWhenUsed/>
    <w:rsid w:val="0029639D"/>
    <w:pPr>
      <w:spacing w:after="120"/>
      <w:ind w:left="1080"/>
      <w:contextualSpacing/>
    </w:pPr>
    <w:rPr>
      <w:rFonts w:ascii="宋体" w:hAnsi="宋体" w:eastAsia="宋体" w:cs="宋体"/>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宋体" w:hAnsi="宋体" w:eastAsia="宋体" w:cs="宋体"/>
      <w:sz w:val="20"/>
      <w:szCs w:val="20"/>
    </w:rPr>
  </w:style>
  <w:style w:type="character" w:customStyle="1" w:styleId="MacroTextChar">
    <w:name w:val="Macro Text Char"/>
    <w:basedOn w:val="DefaultParagraphFont"/>
    <w:link w:val="MacroText"/>
    <w:uiPriority w:val="99"/>
    <w:rsid w:val="0029639D"/>
    <w:rPr>
      <w:rFonts w:ascii="宋体" w:hAnsi="宋体" w:eastAsia="宋体" w:cs="宋体"/>
      <w:sz w:val="20"/>
      <w:szCs w:val="20"/>
    </w:rPr>
  </w:style>
  <w:style w:type="paragraph" w:styleId="Quote">
    <w:name w:val="Quote"/>
    <w:basedOn w:val="Normal"/>
    <w:next w:val="Normal"/>
    <w:link w:val="QuoteChar"/>
    <w:uiPriority w:val="29"/>
    <w:qFormat/>
    <w:rsid w:val="00FC693F"/>
    <w:rPr>
      <w:rFonts w:ascii="宋体" w:hAnsi="宋体" w:eastAsia="宋体" w:cs="宋体"/>
      <w:i/>
      <w:iCs/>
      <w:color w:val="000000" w:themeColor="text1"/>
    </w:rPr>
  </w:style>
  <w:style w:type="character" w:customStyle="1" w:styleId="QuoteChar">
    <w:name w:val="Quote Char"/>
    <w:basedOn w:val="DefaultParagraphFont"/>
    <w:link w:val="Quote"/>
    <w:uiPriority w:val="29"/>
    <w:rsid w:val="00FC693F"/>
    <w:rPr>
      <w:rFonts w:ascii="宋体" w:hAnsi="宋体" w:eastAsia="宋体" w:cs="宋体"/>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宋体" w:hAnsi="宋体" w:eastAsia="宋体" w:cs="宋体"/>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宋体" w:hAnsi="宋体" w:eastAsia="宋体" w:cs="宋体"/>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宋体" w:hAnsi="宋体" w:eastAsia="宋体" w:cs="宋体"/>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宋体" w:hAnsi="宋体" w:eastAsia="宋体" w:cs="宋体"/>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宋体" w:hAnsi="宋体" w:eastAsia="宋体" w:cs="宋体"/>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宋体" w:hAnsi="宋体" w:eastAsia="宋体" w:cs="宋体"/>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宋体" w:hAnsi="宋体" w:eastAsia="宋体" w:cs="宋体"/>
      <w:b/>
      <w:bCs/>
      <w:color w:val="4F81BD" w:themeColor="accent1"/>
      <w:sz w:val="18"/>
      <w:szCs w:val="18"/>
    </w:rPr>
  </w:style>
  <w:style w:type="character" w:styleId="Strong">
    <w:name w:val="Strong"/>
    <w:basedOn w:val="DefaultParagraphFont"/>
    <w:uiPriority w:val="22"/>
    <w:qFormat/>
    <w:rsid w:val="00FC693F"/>
    <w:rPr>
      <w:rFonts w:ascii="宋体" w:hAnsi="宋体" w:eastAsia="宋体" w:cs="宋体"/>
      <w:b/>
      <w:bCs/>
    </w:rPr>
  </w:style>
  <w:style w:type="character" w:styleId="Emphasis">
    <w:name w:val="Emphasis"/>
    <w:basedOn w:val="DefaultParagraphFont"/>
    <w:uiPriority w:val="20"/>
    <w:qFormat/>
    <w:rsid w:val="00FC693F"/>
    <w:rPr>
      <w:rFonts w:ascii="宋体" w:hAnsi="宋体" w:eastAsia="宋体" w:cs="宋体"/>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宋体" w:hAnsi="宋体" w:eastAsia="宋体" w:cs="宋体"/>
      <w:b/>
      <w:bCs/>
      <w:i/>
      <w:iCs/>
      <w:color w:val="4F81BD" w:themeColor="accent1"/>
    </w:rPr>
  </w:style>
  <w:style w:type="character" w:customStyle="1" w:styleId="IntenseQuoteChar">
    <w:name w:val="Intense Quote Char"/>
    <w:basedOn w:val="DefaultParagraphFont"/>
    <w:link w:val="IntenseQuote"/>
    <w:uiPriority w:val="30"/>
    <w:rsid w:val="00FC693F"/>
    <w:rPr>
      <w:rFonts w:ascii="宋体" w:hAnsi="宋体" w:eastAsia="宋体" w:cs="宋体"/>
      <w:b/>
      <w:bCs/>
      <w:i/>
      <w:iCs/>
      <w:color w:val="4F81BD" w:themeColor="accent1"/>
    </w:rPr>
  </w:style>
  <w:style w:type="character" w:styleId="SubtleEmphasis">
    <w:name w:val="Subtle Emphasis"/>
    <w:basedOn w:val="DefaultParagraphFont"/>
    <w:uiPriority w:val="19"/>
    <w:qFormat/>
    <w:rsid w:val="00FC693F"/>
    <w:rPr>
      <w:rFonts w:ascii="宋体" w:hAnsi="宋体" w:eastAsia="宋体" w:cs="宋体"/>
      <w:i/>
      <w:iCs/>
      <w:color w:val="808080" w:themeColor="text1" w:themeTint="7F"/>
    </w:rPr>
  </w:style>
  <w:style w:type="character" w:styleId="IntenseEmphasis">
    <w:name w:val="Intense Emphasis"/>
    <w:basedOn w:val="DefaultParagraphFont"/>
    <w:uiPriority w:val="21"/>
    <w:qFormat/>
    <w:rsid w:val="00FC693F"/>
    <w:rPr>
      <w:rFonts w:ascii="宋体" w:hAnsi="宋体" w:eastAsia="宋体" w:cs="宋体"/>
      <w:b/>
      <w:bCs/>
      <w:i/>
      <w:iCs/>
      <w:color w:val="4F81BD" w:themeColor="accent1"/>
    </w:rPr>
  </w:style>
  <w:style w:type="character" w:styleId="SubtleReference">
    <w:name w:val="Subtle Reference"/>
    <w:basedOn w:val="DefaultParagraphFont"/>
    <w:uiPriority w:val="31"/>
    <w:qFormat/>
    <w:rsid w:val="00FC693F"/>
    <w:rPr>
      <w:rFonts w:ascii="宋体" w:hAnsi="宋体" w:eastAsia="宋体" w:cs="宋体"/>
      <w:smallCaps/>
      <w:color w:val="C0504D" w:themeColor="accent2"/>
      <w:u w:val="single"/>
    </w:rPr>
  </w:style>
  <w:style w:type="character" w:styleId="IntenseReference">
    <w:name w:val="Intense Reference"/>
    <w:basedOn w:val="DefaultParagraphFont"/>
    <w:uiPriority w:val="32"/>
    <w:qFormat/>
    <w:rsid w:val="00FC693F"/>
    <w:rPr>
      <w:rFonts w:ascii="宋体" w:hAnsi="宋体" w:eastAsia="宋体" w:cs="宋体"/>
      <w:b/>
      <w:bCs/>
      <w:smallCaps/>
      <w:color w:val="C0504D" w:themeColor="accent2"/>
      <w:spacing w:val="5"/>
      <w:u w:val="single"/>
    </w:rPr>
  </w:style>
  <w:style w:type="character" w:styleId="BookTitle">
    <w:name w:val="Book Title"/>
    <w:basedOn w:val="DefaultParagraphFont"/>
    <w:uiPriority w:val="33"/>
    <w:qFormat/>
    <w:rsid w:val="00FC693F"/>
    <w:rPr>
      <w:rFonts w:ascii="宋体" w:hAnsi="宋体" w:eastAsia="宋体" w:cs="宋体"/>
      <w:b/>
      <w:bCs/>
      <w:smallCaps/>
      <w:spacing w:val="5"/>
    </w:rPr>
  </w:style>
  <w:style w:type="paragraph" w:styleId="TOCHeading">
    <w:name w:val="TOC Heading"/>
    <w:basedOn w:val="Heading1"/>
    <w:next w:val="Normal"/>
    <w:uiPriority w:val="39"/>
    <w:semiHidden/>
    <w:unhideWhenUsed/>
    <w:qFormat/>
    <w:rsid w:val="00FC693F"/>
    <w:pPr>
      <w:outlineLvl w:val="9"/>
    </w:pPr>
    <w:rPr>
      <w:rFonts w:ascii="宋体" w:hAnsi="宋体" w:eastAsia="宋体" w:cs="宋体"/>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rFonts w:ascii="宋体" w:hAnsi="宋体" w:eastAsia="宋体" w:cs="宋体"/>
    </w:rPr>
  </w:style>
  <w:style w:type="table" w:styleId="LightShading">
    <w:name w:val="Light Shading"/>
    <w:basedOn w:val="TableNormal"/>
    <w:uiPriority w:val="60"/>
    <w:rsid w:val="00FC693F"/>
    <w:pPr>
      <w:spacing w:after="0" w:line="240" w:lineRule="auto"/>
    </w:pPr>
    <w:rPr>
      <w:rFonts w:ascii="宋体" w:hAnsi="宋体" w:eastAsia="宋体" w:cs="宋体"/>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宋体" w:hAnsi="宋体" w:eastAsia="宋体" w:cs="宋体"/>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宋体" w:hAnsi="宋体" w:eastAsia="宋体" w:cs="宋体"/>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宋体" w:hAnsi="宋体" w:eastAsia="宋体" w:cs="宋体"/>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宋体" w:hAnsi="宋体" w:eastAsia="宋体" w:cs="宋体"/>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宋体" w:hAnsi="宋体" w:eastAsia="宋体" w:cs="宋体"/>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宋体" w:hAnsi="宋体" w:eastAsia="宋体" w:cs="宋体"/>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宋体" w:hAnsi="宋体" w:eastAsia="宋体" w:cs="宋体"/>
    </w:r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宋体" w:hAnsi="宋体" w:eastAsia="宋体" w:cs="宋体"/>
    </w:r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宋体" w:hAnsi="宋体" w:eastAsia="宋体" w:cs="宋体"/>
    </w:r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宋体" w:hAnsi="宋体" w:eastAsia="宋体" w:cs="宋体"/>
    </w:r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宋体" w:hAnsi="宋体" w:eastAsia="宋体" w:cs="宋体"/>
    </w:r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宋体" w:hAnsi="宋体" w:eastAsia="宋体" w:cs="宋体"/>
    </w:r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宋体" w:hAnsi="宋体" w:eastAsia="宋体" w:cs="宋体"/>
    </w:r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宋体" w:hAnsi="宋体" w:eastAsia="宋体" w:cs="宋体"/>
    </w:r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宋体" w:hAnsi="宋体" w:eastAsia="宋体" w:cs="宋体"/>
    </w:r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宋体" w:hAnsi="宋体" w:eastAsia="宋体" w:cs="宋体"/>
    </w:r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宋体" w:hAnsi="宋体" w:eastAsia="宋体" w:cs="宋体"/>
    </w:r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宋体" w:hAnsi="宋体" w:eastAsia="宋体" w:cs="宋体"/>
    </w:r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宋体" w:hAnsi="宋体" w:eastAsia="宋体" w:cs="宋体"/>
    </w:r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宋体" w:hAnsi="宋体" w:eastAsia="宋体" w:cs="宋体"/>
    </w:r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宋体" w:hAnsi="宋体" w:eastAsia="宋体" w:cs="宋体"/>
    </w:r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宋体" w:hAnsi="宋体" w:eastAsia="宋体" w:cs="宋体"/>
    </w:r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宋体" w:hAnsi="宋体" w:eastAsia="宋体" w:cs="宋体"/>
    </w:r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宋体" w:hAnsi="宋体" w:eastAsia="宋体" w:cs="宋体"/>
    </w:r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宋体" w:hAnsi="宋体" w:eastAsia="宋体" w:cs="宋体"/>
    </w:r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宋体" w:hAnsi="宋体" w:eastAsia="宋体" w:cs="宋体"/>
    </w:r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宋体" w:hAnsi="宋体" w:eastAsia="宋体" w:cs="宋体"/>
    </w:r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宋体" w:hAnsi="宋体" w:eastAsia="宋体" w:cs="宋体"/>
    </w:r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宋体" w:hAnsi="宋体" w:eastAsia="宋体" w:cs="宋体"/>
    </w:r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宋体" w:hAnsi="宋体" w:eastAsia="宋体" w:cs="宋体"/>
    </w:r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宋体" w:hAnsi="宋体" w:eastAsia="宋体" w:cs="宋体"/>
    </w:r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宋体" w:hAnsi="宋体" w:eastAsia="宋体" w:cs="宋体"/>
    </w:r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宋体" w:hAnsi="宋体" w:eastAsia="宋体" w:cs="宋体"/>
    </w:r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宋体" w:hAnsi="宋体" w:eastAsia="宋体" w:cs="宋体"/>
    </w:rPr>
  </w:style>
  <w:style w:type="table" w:styleId="MediumList1">
    <w:name w:val="Medium List 1"/>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宋体" w:hAnsi="宋体" w:eastAsia="宋体" w:cs="宋体"/>
    </w:r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宋体" w:hAnsi="宋体" w:eastAsia="宋体" w:cs="宋体"/>
    </w:r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宋体" w:hAnsi="宋体" w:eastAsia="宋体" w:cs="宋体"/>
    </w:r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宋体" w:hAnsi="宋体" w:eastAsia="宋体" w:cs="宋体"/>
    </w:r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宋体" w:hAnsi="宋体" w:eastAsia="宋体" w:cs="宋体"/>
    </w:r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宋体" w:hAnsi="宋体" w:eastAsia="宋体" w:cs="宋体"/>
    </w:r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宋体" w:hAnsi="宋体" w:eastAsia="宋体" w:cs="宋体"/>
    </w:r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宋体" w:hAnsi="宋体" w:eastAsia="宋体" w:cs="宋体"/>
    </w:r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宋体" w:hAnsi="宋体" w:eastAsia="宋体" w:cs="宋体"/>
    </w:r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宋体" w:hAnsi="宋体" w:eastAsia="宋体" w:cs="宋体"/>
    </w:r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宋体" w:hAnsi="宋体" w:eastAsia="宋体" w:cs="宋体"/>
    </w:r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宋体" w:hAnsi="宋体" w:eastAsia="宋体" w:cs="宋体"/>
    </w:r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宋体" w:hAnsi="宋体" w:eastAsia="宋体" w:cs="宋体"/>
    </w:r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宋体" w:hAnsi="宋体" w:eastAsia="宋体" w:cs="宋体"/>
    </w:rPr>
  </w:style>
  <w:style w:type="table" w:styleId="DarkList">
    <w:name w:val="Dark List"/>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