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财务与-nc-接口需求说明初稿"/>
    <w:p>
      <w:pPr>
        <w:pStyle w:val="Heading1"/>
      </w:pPr>
      <w:r>
        <w:rPr>
          <w:rFonts w:hint="eastAsia"/>
        </w:rPr>
        <w:t xml:space="preserve">财务与</w:t>
      </w:r>
      <w:r>
        <w:t xml:space="preserve"> NC </w:t>
      </w:r>
      <w:r>
        <w:rPr>
          <w:rFonts w:hint="eastAsia"/>
        </w:rPr>
        <w:t xml:space="preserve">接口需求说明（初稿）</w:t>
      </w:r>
    </w:p>
    <w:bookmarkStart w:id="9" w:name="一文档目的"/>
    <w:p>
      <w:pPr>
        <w:pStyle w:val="Heading2"/>
      </w:pPr>
      <w:r>
        <w:rPr>
          <w:rFonts w:hint="eastAsia"/>
        </w:rPr>
        <w:t xml:space="preserve">一、文档目的</w:t>
      </w:r>
    </w:p>
    <w:p>
      <w:pPr>
        <w:pStyle w:val="FirstParagraph"/>
      </w:pPr>
      <w:r>
        <w:rPr>
          <w:rFonts w:hint="eastAsia"/>
        </w:rPr>
        <w:t xml:space="preserve">本文档用于从需求沟通、招标说明和开发指导的角度，明确物资供应管理系统与</w:t>
      </w:r>
      <w:r>
        <w:t xml:space="preserve"> NC </w:t>
      </w:r>
      <w:r>
        <w:rPr>
          <w:rFonts w:hint="eastAsia"/>
        </w:rPr>
        <w:t xml:space="preserve">财务系统之间的协同边界、接口对象、业务触发点、管理要求和实施重点。</w:t>
      </w:r>
    </w:p>
    <w:p>
      <w:pPr>
        <w:pStyle w:val="BodyText"/>
      </w:pPr>
      <w:r>
        <w:rPr>
          <w:rFonts w:hint="eastAsia"/>
        </w:rPr>
        <w:t xml:space="preserve">本文档主要用于：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与财务部门统一业财协同原则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与业务部门明确哪些业务会触发财务动作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为招标阶段说明接口建设范围和责任边界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为后续开发、实施、联调和验收提供依据</w:t>
      </w:r>
    </w:p>
    <w:p>
      <w:pPr>
        <w:pStyle w:val="BlockText"/>
      </w:pPr>
      <w:r>
        <w:rPr>
          <w:rFonts w:hint="eastAsia"/>
        </w:rPr>
        <w:t xml:space="preserve">说明：本文档为需求层接口说明，偏重“做什么、为什么、何时触发、由谁负责”。如需查看更细的凭证样例、会计分录和技术报文示例，可结合《物资管理与财务接口规范》使用。</w:t>
      </w:r>
    </w:p>
    <w:p>
      <w:pPr>
        <w:pStyle w:val="BlockText"/>
      </w:pPr>
      <w:r>
        <w:rPr>
          <w:rFonts w:hint="eastAsia"/>
        </w:rPr>
        <w:t xml:space="preserve">文档定位：本文档作为财务接口需求主文档，主要面向需求梳理、招标说明和管理沟通；详细规则、凭证分录、报文样例和联调细节，统一以下层配套文档《物资管理与财务接口规范》展开。</w:t>
      </w:r>
    </w:p>
    <w:bookmarkEnd w:id="9"/>
    <w:bookmarkStart w:id="10" w:name="二接口建设背景"/>
    <w:p>
      <w:pPr>
        <w:pStyle w:val="Heading2"/>
      </w:pPr>
      <w:r>
        <w:rPr>
          <w:rFonts w:hint="eastAsia"/>
        </w:rPr>
        <w:t xml:space="preserve">二、接口建设背景</w:t>
      </w:r>
    </w:p>
    <w:p>
      <w:pPr>
        <w:pStyle w:val="FirstParagraph"/>
      </w:pPr>
      <w:r>
        <w:rPr>
          <w:rFonts w:hint="eastAsia"/>
        </w:rPr>
        <w:t xml:space="preserve">物资系统与</w:t>
      </w:r>
      <w:r>
        <w:t xml:space="preserve"> NC </w:t>
      </w:r>
      <w:r>
        <w:rPr>
          <w:rFonts w:hint="eastAsia"/>
        </w:rPr>
        <w:t xml:space="preserve">财务系统分属不同业务定位：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物资系统</w:t>
      </w:r>
      <w:r>
        <w:rPr>
          <w:rFonts w:hint="eastAsia"/>
        </w:rPr>
        <w:t xml:space="preserve">负责物料主数据、库存实物流转和业务单据过程管理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NC </w:t>
      </w:r>
      <w:r>
        <w:rPr>
          <w:rFonts w:hint="eastAsia"/>
          <w:b/>
          <w:bCs/>
        </w:rPr>
        <w:t xml:space="preserve">财务系统</w:t>
      </w:r>
      <w:r>
        <w:rPr>
          <w:rFonts w:hint="eastAsia"/>
        </w:rPr>
        <w:t xml:space="preserve">负责财务凭证、应付处理、成本归集和价值核算</w:t>
      </w:r>
    </w:p>
    <w:p>
      <w:pPr>
        <w:pStyle w:val="FirstParagraph"/>
      </w:pPr>
      <w:r>
        <w:rPr>
          <w:rFonts w:hint="eastAsia"/>
        </w:rPr>
        <w:t xml:space="preserve">两者之间不是替代关系，而是协同关系。</w:t>
      </w:r>
    </w:p>
    <w:p>
      <w:pPr>
        <w:pStyle w:val="BodyText"/>
      </w:pPr>
      <w:r>
        <w:rPr>
          <w:rFonts w:hint="eastAsia"/>
        </w:rPr>
        <w:t xml:space="preserve">本项目接口建设的核心目标是：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让物资业务成为财务核算的可信来源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让财务核算结果能够反映真实业务活动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减少手工重复录入、手工对账和口径不一致问题</w:t>
      </w:r>
    </w:p>
    <w:bookmarkEnd w:id="10"/>
    <w:bookmarkStart w:id="16" w:name="三接口建设总体原则"/>
    <w:p>
      <w:pPr>
        <w:pStyle w:val="Heading2"/>
      </w:pPr>
      <w:r>
        <w:rPr>
          <w:rFonts w:hint="eastAsia"/>
        </w:rPr>
        <w:t xml:space="preserve">三、接口建设总体原则</w:t>
      </w:r>
    </w:p>
    <w:bookmarkStart w:id="11" w:name="业务主导原则"/>
    <w:p>
      <w:pPr>
        <w:pStyle w:val="Heading3"/>
      </w:pPr>
      <w:r>
        <w:t xml:space="preserve">1. </w:t>
      </w:r>
      <w:r>
        <w:rPr>
          <w:rFonts w:hint="eastAsia"/>
        </w:rPr>
        <w:t xml:space="preserve">业务主导原则</w:t>
      </w:r>
    </w:p>
    <w:p>
      <w:pPr>
        <w:pStyle w:val="FirstParagraph"/>
      </w:pPr>
      <w:r>
        <w:rPr>
          <w:rFonts w:hint="eastAsia"/>
        </w:rPr>
        <w:t xml:space="preserve">物资系统是业务发生和实物流转的记录方，财务处理应以真实业务为基础，不应绕过业务系统直接形成脱节数据。</w:t>
      </w:r>
    </w:p>
    <w:bookmarkEnd w:id="11"/>
    <w:bookmarkStart w:id="12" w:name="主数据先行原则"/>
    <w:p>
      <w:pPr>
        <w:pStyle w:val="Heading3"/>
      </w:pPr>
      <w:r>
        <w:t xml:space="preserve">2. </w:t>
      </w:r>
      <w:r>
        <w:rPr>
          <w:rFonts w:hint="eastAsia"/>
        </w:rPr>
        <w:t xml:space="preserve">主数据先行原则</w:t>
      </w:r>
    </w:p>
    <w:p>
      <w:pPr>
        <w:pStyle w:val="FirstParagraph"/>
      </w:pPr>
      <w:r>
        <w:rPr>
          <w:rFonts w:hint="eastAsia"/>
        </w:rPr>
        <w:t xml:space="preserve">接口建设必须建立在主数据统一基础上。若物料、单位、组织、成本中心、存货分类不统一，接口将无法稳定运行。</w:t>
      </w:r>
    </w:p>
    <w:bookmarkEnd w:id="12"/>
    <w:bookmarkStart w:id="13" w:name="映射协同原则"/>
    <w:p>
      <w:pPr>
        <w:pStyle w:val="Heading3"/>
      </w:pPr>
      <w:r>
        <w:t xml:space="preserve">3. </w:t>
      </w:r>
      <w:r>
        <w:rPr>
          <w:rFonts w:hint="eastAsia"/>
        </w:rPr>
        <w:t xml:space="preserve">映射协同原则</w:t>
      </w:r>
    </w:p>
    <w:p>
      <w:pPr>
        <w:pStyle w:val="FirstParagraph"/>
      </w:pPr>
      <w:r>
        <w:rPr>
          <w:rFonts w:hint="eastAsia"/>
        </w:rPr>
        <w:t xml:space="preserve">考虑</w:t>
      </w:r>
      <w:r>
        <w:t xml:space="preserve"> NC </w:t>
      </w:r>
      <w:r>
        <w:rPr>
          <w:rFonts w:hint="eastAsia"/>
        </w:rPr>
        <w:t xml:space="preserve">已有历史存量和使用习惯，建议继续采用：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物资系统保持自身物料编码体系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</w:t>
      </w:r>
      <w:r>
        <w:t xml:space="preserve"> NC </w:t>
      </w:r>
      <w:r>
        <w:rPr>
          <w:rFonts w:hint="eastAsia"/>
        </w:rPr>
        <w:t xml:space="preserve">存货编码建立稳定映射关系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通过映射实现业务与财务协同，不强行要求</w:t>
      </w:r>
      <w:r>
        <w:t xml:space="preserve"> NC </w:t>
      </w:r>
      <w:r>
        <w:rPr>
          <w:rFonts w:hint="eastAsia"/>
        </w:rPr>
        <w:t xml:space="preserve">全量重构</w:t>
      </w:r>
    </w:p>
    <w:bookmarkEnd w:id="13"/>
    <w:bookmarkStart w:id="14" w:name="同口径原则"/>
    <w:p>
      <w:pPr>
        <w:pStyle w:val="Heading3"/>
      </w:pPr>
      <w:r>
        <w:t xml:space="preserve">4. </w:t>
      </w:r>
      <w:r>
        <w:rPr>
          <w:rFonts w:hint="eastAsia"/>
        </w:rPr>
        <w:t xml:space="preserve">同口径原则</w:t>
      </w:r>
    </w:p>
    <w:p>
      <w:pPr>
        <w:pStyle w:val="FirstParagraph"/>
      </w:pPr>
      <w:r>
        <w:rPr>
          <w:rFonts w:hint="eastAsia"/>
        </w:rPr>
        <w:t xml:space="preserve">以下关键口径必须两系统一致或有明确映射关系：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计量单位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存货分类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成本中心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组织口径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计价方法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暂估规则</w:t>
      </w:r>
    </w:p>
    <w:bookmarkEnd w:id="14"/>
    <w:bookmarkStart w:id="15" w:name="可追溯原则"/>
    <w:p>
      <w:pPr>
        <w:pStyle w:val="Heading3"/>
      </w:pPr>
      <w:r>
        <w:t xml:space="preserve">5. </w:t>
      </w:r>
      <w:r>
        <w:rPr>
          <w:rFonts w:hint="eastAsia"/>
        </w:rPr>
        <w:t xml:space="preserve">可追溯原则</w:t>
      </w:r>
    </w:p>
    <w:p>
      <w:pPr>
        <w:pStyle w:val="FirstParagraph"/>
      </w:pPr>
      <w:r>
        <w:rPr>
          <w:rFonts w:hint="eastAsia"/>
        </w:rPr>
        <w:t xml:space="preserve">所有推送、重推、失败、回执、差异调整都必须可查询、可追溯、可审计。</w:t>
      </w:r>
    </w:p>
    <w:bookmarkEnd w:id="15"/>
    <w:bookmarkEnd w:id="16"/>
    <w:bookmarkStart w:id="20" w:name="四接口范围说明"/>
    <w:p>
      <w:pPr>
        <w:pStyle w:val="Heading2"/>
      </w:pPr>
      <w:r>
        <w:rPr>
          <w:rFonts w:hint="eastAsia"/>
        </w:rPr>
        <w:t xml:space="preserve">四、接口范围说明</w:t>
      </w:r>
    </w:p>
    <w:p>
      <w:pPr>
        <w:pStyle w:val="FirstParagraph"/>
      </w:pPr>
      <w:r>
        <w:rPr>
          <w:rFonts w:hint="eastAsia"/>
        </w:rPr>
        <w:t xml:space="preserve">一期建议纳入以下接口范围：</w:t>
      </w:r>
    </w:p>
    <w:bookmarkStart w:id="17" w:name="主数据相关接口"/>
    <w:p>
      <w:pPr>
        <w:pStyle w:val="Heading3"/>
      </w:pPr>
      <w:r>
        <w:t xml:space="preserve">1. </w:t>
      </w:r>
      <w:r>
        <w:rPr>
          <w:rFonts w:hint="eastAsia"/>
        </w:rPr>
        <w:t xml:space="preserve">主数据相关接口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物料与</w:t>
      </w:r>
      <w:r>
        <w:t xml:space="preserve"> NC </w:t>
      </w:r>
      <w:r>
        <w:rPr>
          <w:rFonts w:hint="eastAsia"/>
        </w:rPr>
        <w:t xml:space="preserve">存货编码映射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计量单位对照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分类对照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成本中心对照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组织口径对照</w:t>
      </w:r>
    </w:p>
    <w:bookmarkEnd w:id="17"/>
    <w:bookmarkStart w:id="18" w:name="业务单据触发财务接口"/>
    <w:p>
      <w:pPr>
        <w:pStyle w:val="Heading3"/>
      </w:pPr>
      <w:r>
        <w:t xml:space="preserve">2. </w:t>
      </w:r>
      <w:r>
        <w:rPr>
          <w:rFonts w:hint="eastAsia"/>
        </w:rPr>
        <w:t xml:space="preserve">业务单据触发财务接口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采购入库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采购退货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领料出库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退料入库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跨组织调拨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盘盈盘亏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废旧物资处置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月末暂估与冲销相关处理</w:t>
      </w:r>
    </w:p>
    <w:bookmarkEnd w:id="18"/>
    <w:bookmarkStart w:id="19" w:name="对账与异常处理接口"/>
    <w:p>
      <w:pPr>
        <w:pStyle w:val="Heading3"/>
      </w:pPr>
      <w:r>
        <w:t xml:space="preserve">3. </w:t>
      </w:r>
      <w:r>
        <w:rPr>
          <w:rFonts w:hint="eastAsia"/>
        </w:rPr>
        <w:t xml:space="preserve">对账与异常处理接口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接口执行结果回执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失败重推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差异清单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对账结果清单</w:t>
      </w:r>
    </w:p>
    <w:bookmarkEnd w:id="19"/>
    <w:bookmarkEnd w:id="20"/>
    <w:bookmarkStart w:id="25" w:name="五主数据接口需求"/>
    <w:p>
      <w:pPr>
        <w:pStyle w:val="Heading2"/>
      </w:pPr>
      <w:r>
        <w:rPr>
          <w:rFonts w:hint="eastAsia"/>
        </w:rPr>
        <w:t xml:space="preserve">五、主数据接口需求</w:t>
      </w:r>
    </w:p>
    <w:bookmarkStart w:id="21" w:name="物料映射需求"/>
    <w:p>
      <w:pPr>
        <w:pStyle w:val="Heading3"/>
      </w:pPr>
      <w:r>
        <w:t xml:space="preserve">1. </w:t>
      </w:r>
      <w:r>
        <w:rPr>
          <w:rFonts w:hint="eastAsia"/>
        </w:rPr>
        <w:t xml:space="preserve">物料映射需求</w:t>
      </w:r>
    </w:p>
    <w:p>
      <w:pPr>
        <w:pStyle w:val="FirstParagraph"/>
      </w:pPr>
      <w:r>
        <w:rPr>
          <w:rFonts w:hint="eastAsia"/>
        </w:rPr>
        <w:t xml:space="preserve">物资系统中的物料编码与</w:t>
      </w:r>
      <w:r>
        <w:t xml:space="preserve"> NC </w:t>
      </w:r>
      <w:r>
        <w:rPr>
          <w:rFonts w:hint="eastAsia"/>
        </w:rPr>
        <w:t xml:space="preserve">存货编码之间，应建立稳定映射关系。</w:t>
      </w:r>
    </w:p>
    <w:p>
      <w:pPr>
        <w:pStyle w:val="BodyText"/>
      </w:pPr>
      <w:r>
        <w:rPr>
          <w:rFonts w:hint="eastAsia"/>
        </w:rPr>
        <w:t xml:space="preserve">需求重点包括：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映射关系可建立、可修改、可停用、可追溯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映射维护要有责任人和审批机制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历史物料上线前需完成初始化映射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对于一对多、多对一等特殊场景，需提前明确支持边界</w:t>
      </w:r>
    </w:p>
    <w:p>
      <w:pPr>
        <w:pStyle w:val="FirstParagraph"/>
      </w:pPr>
      <w:r>
        <w:rPr>
          <w:rFonts w:hint="eastAsia"/>
        </w:rPr>
        <w:t xml:space="preserve">当前建议方向：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一期以</w:t>
      </w:r>
      <w:r>
        <w:t xml:space="preserve"> </w:t>
      </w:r>
      <w:r>
        <w:rPr>
          <w:b/>
          <w:bCs/>
        </w:rPr>
        <w:t xml:space="preserve">N:1 </w:t>
      </w:r>
      <w:r>
        <w:rPr>
          <w:rFonts w:hint="eastAsia"/>
          <w:b/>
          <w:bCs/>
        </w:rPr>
        <w:t xml:space="preserve">映射</w:t>
      </w:r>
      <w:r>
        <w:t xml:space="preserve"> </w:t>
      </w:r>
      <w:r>
        <w:rPr>
          <w:rFonts w:hint="eastAsia"/>
        </w:rPr>
        <w:t xml:space="preserve">作为主策略进行说明和建设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在招标文件中应明确写入，避免供应商理解偏差</w:t>
      </w:r>
    </w:p>
    <w:bookmarkEnd w:id="21"/>
    <w:bookmarkStart w:id="22" w:name="单位与分类对照需求"/>
    <w:p>
      <w:pPr>
        <w:pStyle w:val="Heading3"/>
      </w:pPr>
      <w:r>
        <w:t xml:space="preserve">2. </w:t>
      </w:r>
      <w:r>
        <w:rPr>
          <w:rFonts w:hint="eastAsia"/>
        </w:rPr>
        <w:t xml:space="preserve">单位与分类对照需求</w:t>
      </w:r>
    </w:p>
    <w:p>
      <w:pPr>
        <w:pStyle w:val="FirstParagraph"/>
      </w:pPr>
      <w:r>
        <w:rPr>
          <w:rFonts w:hint="eastAsia"/>
        </w:rPr>
        <w:t xml:space="preserve">应保证物资系统与</w:t>
      </w:r>
      <w:r>
        <w:t xml:space="preserve"> NC </w:t>
      </w:r>
      <w:r>
        <w:rPr>
          <w:rFonts w:hint="eastAsia"/>
        </w:rPr>
        <w:t xml:space="preserve">的以下口径一致：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主计量单位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单位换算规则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物料大类/分类与</w:t>
      </w:r>
      <w:r>
        <w:t xml:space="preserve"> NC </w:t>
      </w:r>
      <w:r>
        <w:rPr>
          <w:rFonts w:hint="eastAsia"/>
        </w:rPr>
        <w:t xml:space="preserve">存货分类关系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特殊物资属性与科目归属基础</w:t>
      </w:r>
    </w:p>
    <w:bookmarkEnd w:id="22"/>
    <w:bookmarkStart w:id="23" w:name="成本中心与组织映射需求"/>
    <w:p>
      <w:pPr>
        <w:pStyle w:val="Heading3"/>
      </w:pPr>
      <w:r>
        <w:t xml:space="preserve">3. </w:t>
      </w:r>
      <w:r>
        <w:rPr>
          <w:rFonts w:hint="eastAsia"/>
        </w:rPr>
        <w:t xml:space="preserve">成本中心与组织映射需求</w:t>
      </w:r>
    </w:p>
    <w:p>
      <w:pPr>
        <w:pStyle w:val="FirstParagraph"/>
      </w:pPr>
      <w:r>
        <w:rPr>
          <w:rFonts w:hint="eastAsia"/>
        </w:rPr>
        <w:t xml:space="preserve">应明确：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物资系统使用单位如何对应</w:t>
      </w:r>
      <w:r>
        <w:t xml:space="preserve"> NC </w:t>
      </w:r>
      <w:r>
        <w:rPr>
          <w:rFonts w:hint="eastAsia"/>
        </w:rPr>
        <w:t xml:space="preserve">成本中心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哪些业务单据必须携带成本中心信息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跨组织业务使用哪个财务组织口径推送</w:t>
      </w:r>
    </w:p>
    <w:bookmarkEnd w:id="23"/>
    <w:bookmarkStart w:id="24" w:name="权威数据源与同步边界"/>
    <w:p>
      <w:pPr>
        <w:pStyle w:val="Heading3"/>
      </w:pPr>
      <w:r>
        <w:t xml:space="preserve">4. </w:t>
      </w:r>
      <w:r>
        <w:rPr>
          <w:rFonts w:hint="eastAsia"/>
        </w:rPr>
        <w:t xml:space="preserve">权威数据源与同步边界</w:t>
      </w:r>
    </w:p>
    <w:p>
      <w:pPr>
        <w:pStyle w:val="FirstParagraph"/>
      </w:pPr>
      <w:r>
        <w:rPr>
          <w:rFonts w:hint="eastAsia"/>
        </w:rPr>
        <w:t xml:space="preserve">应进一步明确以下边界：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组织架构、人员信息</w:t>
      </w:r>
      <w:r>
        <w:rPr>
          <w:rFonts w:hint="eastAsia"/>
        </w:rPr>
        <w:t xml:space="preserve">：以人资系统为权威源，物资系统与</w:t>
      </w:r>
      <w:r>
        <w:t xml:space="preserve"> NC </w:t>
      </w:r>
      <w:r>
        <w:rPr>
          <w:rFonts w:hint="eastAsia"/>
        </w:rPr>
        <w:t xml:space="preserve">原则上引用或同步使用，不应各自长期维护组织和人员主档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财务核算组织、会计科目、成本中心</w:t>
      </w:r>
      <w:r>
        <w:rPr>
          <w:rFonts w:hint="eastAsia"/>
        </w:rPr>
        <w:t xml:space="preserve">：以财务系统/NC</w:t>
      </w:r>
      <w:r>
        <w:t xml:space="preserve"> </w:t>
      </w:r>
      <w:r>
        <w:rPr>
          <w:rFonts w:hint="eastAsia"/>
        </w:rPr>
        <w:t xml:space="preserve">为权威源，物资系统侧负责引用、映射和使用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物料编码</w:t>
      </w:r>
      <w:r>
        <w:rPr>
          <w:rFonts w:hint="eastAsia"/>
        </w:rPr>
        <w:t xml:space="preserve">：以供应系统为权威源，NC</w:t>
      </w:r>
      <w:r>
        <w:t xml:space="preserve"> </w:t>
      </w:r>
      <w:r>
        <w:rPr>
          <w:rFonts w:hint="eastAsia"/>
        </w:rPr>
        <w:t xml:space="preserve">侧维护映射关系，不反向主导物料编码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计量单位字典</w:t>
      </w:r>
      <w:r>
        <w:rPr>
          <w:rFonts w:hint="eastAsia"/>
        </w:rPr>
        <w:t xml:space="preserve">：如集团暂无独立权威系统，应在项目启动阶段先形成统一单位字典并明确维护归口，上线后不得双向随意扩展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对关键主数据变更，应同步明确生效时点、影响范围、异常处理方式及既有单据留痕规则</w:t>
      </w:r>
    </w:p>
    <w:bookmarkEnd w:id="24"/>
    <w:bookmarkEnd w:id="25"/>
    <w:bookmarkStart w:id="34" w:name="六业务接口需求"/>
    <w:p>
      <w:pPr>
        <w:pStyle w:val="Heading2"/>
      </w:pPr>
      <w:r>
        <w:rPr>
          <w:rFonts w:hint="eastAsia"/>
        </w:rPr>
        <w:t xml:space="preserve">六、业务接口需求</w:t>
      </w:r>
    </w:p>
    <w:bookmarkStart w:id="26" w:name="采购入库接口"/>
    <w:p>
      <w:pPr>
        <w:pStyle w:val="Heading3"/>
      </w:pPr>
      <w:r>
        <w:t xml:space="preserve">1. </w:t>
      </w:r>
      <w:r>
        <w:rPr>
          <w:rFonts w:hint="eastAsia"/>
        </w:rPr>
        <w:t xml:space="preserve">采购入库接口</w:t>
      </w:r>
    </w:p>
    <w:p>
      <w:pPr>
        <w:pStyle w:val="FirstParagraph"/>
      </w:pPr>
      <w:r>
        <w:rPr>
          <w:rFonts w:hint="eastAsia"/>
          <w:b/>
          <w:bCs/>
        </w:rPr>
        <w:t xml:space="preserve">业务含义：</w:t>
      </w:r>
      <w:r>
        <w:t xml:space="preserve"> </w:t>
      </w:r>
      <w:r>
        <w:rPr>
          <w:rFonts w:hint="eastAsia"/>
        </w:rPr>
        <w:t xml:space="preserve">物资到货并完成验收/质检后，形成入库事实。</w:t>
      </w:r>
    </w:p>
    <w:p>
      <w:pPr>
        <w:pStyle w:val="BodyText"/>
      </w:pPr>
      <w:r>
        <w:rPr>
          <w:rFonts w:hint="eastAsia"/>
          <w:b/>
          <w:bCs/>
        </w:rPr>
        <w:t xml:space="preserve">接口需求：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支持推送采购入库相关财务处理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支持发票未到时的暂估处理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支持正式发票到达后的正式入账或冲销处理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支持按供应商、组织、物料、金额等关键要素传递</w:t>
      </w:r>
    </w:p>
    <w:p>
      <w:pPr>
        <w:pStyle w:val="FirstParagraph"/>
      </w:pPr>
      <w:r>
        <w:rPr>
          <w:rFonts w:hint="eastAsia"/>
          <w:b/>
          <w:bCs/>
        </w:rPr>
        <w:t xml:space="preserve">重点确认：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暂估价格来源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正式入账时差异处理机制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三单匹配控制边界</w:t>
      </w:r>
    </w:p>
    <w:bookmarkEnd w:id="26"/>
    <w:bookmarkStart w:id="27" w:name="采购退货接口"/>
    <w:p>
      <w:pPr>
        <w:pStyle w:val="Heading3"/>
      </w:pPr>
      <w:r>
        <w:t xml:space="preserve">2. </w:t>
      </w:r>
      <w:r>
        <w:rPr>
          <w:rFonts w:hint="eastAsia"/>
        </w:rPr>
        <w:t xml:space="preserve">采购退货接口</w:t>
      </w:r>
    </w:p>
    <w:p>
      <w:pPr>
        <w:pStyle w:val="FirstParagraph"/>
      </w:pPr>
      <w:r>
        <w:rPr>
          <w:rFonts w:hint="eastAsia"/>
          <w:b/>
          <w:bCs/>
        </w:rPr>
        <w:t xml:space="preserve">业务含义：</w:t>
      </w:r>
      <w:r>
        <w:t xml:space="preserve"> </w:t>
      </w:r>
      <w:r>
        <w:rPr>
          <w:rFonts w:hint="eastAsia"/>
        </w:rPr>
        <w:t xml:space="preserve">已入库物资因质量、数量等问题退回供应商。</w:t>
      </w:r>
    </w:p>
    <w:p>
      <w:pPr>
        <w:pStyle w:val="BodyText"/>
      </w:pPr>
      <w:r>
        <w:rPr>
          <w:rFonts w:hint="eastAsia"/>
          <w:b/>
          <w:bCs/>
        </w:rPr>
        <w:t xml:space="preserve">接口需求：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支持红字冲销或退货相关财务处理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支持关联原采购入库记录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支持部分退货和跨期退货场景（如政策允许）</w:t>
      </w:r>
    </w:p>
    <w:bookmarkEnd w:id="27"/>
    <w:bookmarkStart w:id="28" w:name="领料出库接口"/>
    <w:p>
      <w:pPr>
        <w:pStyle w:val="Heading3"/>
      </w:pPr>
      <w:r>
        <w:t xml:space="preserve">3. </w:t>
      </w:r>
      <w:r>
        <w:rPr>
          <w:rFonts w:hint="eastAsia"/>
        </w:rPr>
        <w:t xml:space="preserve">领料出库接口</w:t>
      </w:r>
    </w:p>
    <w:p>
      <w:pPr>
        <w:pStyle w:val="FirstParagraph"/>
      </w:pPr>
      <w:r>
        <w:rPr>
          <w:rFonts w:hint="eastAsia"/>
          <w:b/>
          <w:bCs/>
        </w:rPr>
        <w:t xml:space="preserve">业务含义：</w:t>
      </w:r>
      <w:r>
        <w:t xml:space="preserve"> </w:t>
      </w:r>
      <w:r>
        <w:rPr>
          <w:rFonts w:hint="eastAsia"/>
        </w:rPr>
        <w:t xml:space="preserve">仓库将物资发出供生产、维修、管理等使用。</w:t>
      </w:r>
    </w:p>
    <w:p>
      <w:pPr>
        <w:pStyle w:val="BodyText"/>
      </w:pPr>
      <w:r>
        <w:rPr>
          <w:rFonts w:hint="eastAsia"/>
          <w:b/>
          <w:bCs/>
        </w:rPr>
        <w:t xml:space="preserve">接口需求：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支持根据用途、成本中心、物料属性推送相应费用或成本凭证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支持一张领料单多行、多成本中心归集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支持安全专项物资等特殊标识传递</w:t>
      </w:r>
    </w:p>
    <w:p>
      <w:pPr>
        <w:pStyle w:val="FirstParagraph"/>
      </w:pPr>
      <w:r>
        <w:rPr>
          <w:rFonts w:hint="eastAsia"/>
          <w:b/>
          <w:bCs/>
        </w:rPr>
        <w:t xml:space="preserve">重点确认：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成本中心是否必填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出库计价方法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特殊用途领料的财务归集口径</w:t>
      </w:r>
    </w:p>
    <w:bookmarkEnd w:id="28"/>
    <w:bookmarkStart w:id="29" w:name="退料入库接口"/>
    <w:p>
      <w:pPr>
        <w:pStyle w:val="Heading3"/>
      </w:pPr>
      <w:r>
        <w:t xml:space="preserve">4. </w:t>
      </w:r>
      <w:r>
        <w:rPr>
          <w:rFonts w:hint="eastAsia"/>
        </w:rPr>
        <w:t xml:space="preserve">退料入库接口</w:t>
      </w:r>
    </w:p>
    <w:p>
      <w:pPr>
        <w:pStyle w:val="FirstParagraph"/>
      </w:pPr>
      <w:r>
        <w:rPr>
          <w:rFonts w:hint="eastAsia"/>
          <w:b/>
          <w:bCs/>
        </w:rPr>
        <w:t xml:space="preserve">业务含义：</w:t>
      </w:r>
      <w:r>
        <w:t xml:space="preserve"> </w:t>
      </w:r>
      <w:r>
        <w:rPr>
          <w:rFonts w:hint="eastAsia"/>
        </w:rPr>
        <w:t xml:space="preserve">已领出物资因未使用、剩余、计划变更等退回仓库。</w:t>
      </w:r>
    </w:p>
    <w:p>
      <w:pPr>
        <w:pStyle w:val="BodyText"/>
      </w:pPr>
      <w:r>
        <w:rPr>
          <w:rFonts w:hint="eastAsia"/>
          <w:b/>
          <w:bCs/>
        </w:rPr>
        <w:t xml:space="preserve">接口需求：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支持对原出库财务结果进行冲销或调整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支持与原领料记录关联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支持批次物资退回的一致性控制</w:t>
      </w:r>
    </w:p>
    <w:bookmarkEnd w:id="29"/>
    <w:bookmarkStart w:id="30" w:name="调拨接口"/>
    <w:p>
      <w:pPr>
        <w:pStyle w:val="Heading3"/>
      </w:pPr>
      <w:r>
        <w:t xml:space="preserve">5. </w:t>
      </w:r>
      <w:r>
        <w:rPr>
          <w:rFonts w:hint="eastAsia"/>
        </w:rPr>
        <w:t xml:space="preserve">调拨接口</w:t>
      </w:r>
    </w:p>
    <w:p>
      <w:pPr>
        <w:pStyle w:val="FirstParagraph"/>
      </w:pPr>
      <w:r>
        <w:rPr>
          <w:rFonts w:hint="eastAsia"/>
          <w:b/>
          <w:bCs/>
        </w:rPr>
        <w:t xml:space="preserve">业务含义：</w:t>
      </w:r>
      <w:r>
        <w:t xml:space="preserve"> </w:t>
      </w:r>
      <w:r>
        <w:rPr>
          <w:rFonts w:hint="eastAsia"/>
        </w:rPr>
        <w:t xml:space="preserve">物资在仓间或组织间转移。</w:t>
      </w:r>
    </w:p>
    <w:p>
      <w:pPr>
        <w:pStyle w:val="BodyText"/>
      </w:pPr>
      <w:r>
        <w:rPr>
          <w:rFonts w:hint="eastAsia"/>
          <w:b/>
          <w:bCs/>
        </w:rPr>
        <w:t xml:space="preserve">接口需求：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同组织内调拨原则上以库存位置变化为主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跨组织调拨需根据集团财务政策决定是否形成内部结算或相关凭证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如存在在途、差异、损耗，应明确对应处理方式</w:t>
      </w:r>
    </w:p>
    <w:bookmarkEnd w:id="30"/>
    <w:bookmarkStart w:id="31" w:name="盘点接口"/>
    <w:p>
      <w:pPr>
        <w:pStyle w:val="Heading3"/>
      </w:pPr>
      <w:r>
        <w:t xml:space="preserve">6. </w:t>
      </w:r>
      <w:r>
        <w:rPr>
          <w:rFonts w:hint="eastAsia"/>
        </w:rPr>
        <w:t xml:space="preserve">盘点接口</w:t>
      </w:r>
    </w:p>
    <w:p>
      <w:pPr>
        <w:pStyle w:val="FirstParagraph"/>
      </w:pPr>
      <w:r>
        <w:rPr>
          <w:rFonts w:hint="eastAsia"/>
          <w:b/>
          <w:bCs/>
        </w:rPr>
        <w:t xml:space="preserve">业务含义：</w:t>
      </w:r>
      <w:r>
        <w:t xml:space="preserve"> </w:t>
      </w:r>
      <w:r>
        <w:rPr>
          <w:rFonts w:hint="eastAsia"/>
        </w:rPr>
        <w:t xml:space="preserve">盘点后形成盘盈、盘亏或减值处理依据。</w:t>
      </w:r>
    </w:p>
    <w:p>
      <w:pPr>
        <w:pStyle w:val="BodyText"/>
      </w:pPr>
      <w:r>
        <w:rPr>
          <w:rFonts w:hint="eastAsia"/>
          <w:b/>
          <w:bCs/>
        </w:rPr>
        <w:t xml:space="preserve">接口需求：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支持盘盈、盘亏的财务处理推送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支持差异审批后的正式生效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支持记录差异原因和责任信息（如制度要求）</w:t>
      </w:r>
    </w:p>
    <w:bookmarkEnd w:id="31"/>
    <w:bookmarkStart w:id="32" w:name="废旧物资处置接口"/>
    <w:p>
      <w:pPr>
        <w:pStyle w:val="Heading3"/>
      </w:pPr>
      <w:r>
        <w:t xml:space="preserve">7. </w:t>
      </w:r>
      <w:r>
        <w:rPr>
          <w:rFonts w:hint="eastAsia"/>
        </w:rPr>
        <w:t xml:space="preserve">废旧物资处置接口</w:t>
      </w:r>
    </w:p>
    <w:p>
      <w:pPr>
        <w:pStyle w:val="FirstParagraph"/>
      </w:pPr>
      <w:r>
        <w:rPr>
          <w:rFonts w:hint="eastAsia"/>
          <w:b/>
          <w:bCs/>
        </w:rPr>
        <w:t xml:space="preserve">业务含义：</w:t>
      </w:r>
      <w:r>
        <w:t xml:space="preserve"> </w:t>
      </w:r>
      <w:r>
        <w:rPr>
          <w:rFonts w:hint="eastAsia"/>
        </w:rPr>
        <w:t xml:space="preserve">对废旧物资进行报废、回收、变卖或销毁。</w:t>
      </w:r>
    </w:p>
    <w:p>
      <w:pPr>
        <w:pStyle w:val="BodyText"/>
      </w:pPr>
      <w:r>
        <w:rPr>
          <w:rFonts w:hint="eastAsia"/>
          <w:b/>
          <w:bCs/>
        </w:rPr>
        <w:t xml:space="preserve">接口需求：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支持处置收入、损失、销毁等相关财务处理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支持危险品销毁等特殊场景留痕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支持处置结果回写和对账</w:t>
      </w:r>
    </w:p>
    <w:bookmarkEnd w:id="32"/>
    <w:bookmarkStart w:id="33" w:name="月末暂估与冲销接口"/>
    <w:p>
      <w:pPr>
        <w:pStyle w:val="Heading3"/>
      </w:pPr>
      <w:r>
        <w:t xml:space="preserve">8. </w:t>
      </w:r>
      <w:r>
        <w:rPr>
          <w:rFonts w:hint="eastAsia"/>
        </w:rPr>
        <w:t xml:space="preserve">月末暂估与冲销接口</w:t>
      </w:r>
    </w:p>
    <w:p>
      <w:pPr>
        <w:pStyle w:val="FirstParagraph"/>
      </w:pPr>
      <w:r>
        <w:rPr>
          <w:rFonts w:hint="eastAsia"/>
          <w:b/>
          <w:bCs/>
        </w:rPr>
        <w:t xml:space="preserve">业务含义：</w:t>
      </w:r>
      <w:r>
        <w:t xml:space="preserve"> </w:t>
      </w:r>
      <w:r>
        <w:rPr>
          <w:rFonts w:hint="eastAsia"/>
        </w:rPr>
        <w:t xml:space="preserve">月末对未到票已入库业务执行暂估，并在后续进行冲销或正式确认。</w:t>
      </w:r>
    </w:p>
    <w:p>
      <w:pPr>
        <w:pStyle w:val="BodyText"/>
      </w:pPr>
      <w:r>
        <w:rPr>
          <w:rFonts w:hint="eastAsia"/>
          <w:b/>
          <w:bCs/>
        </w:rPr>
        <w:t xml:space="preserve">接口需求：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支持生成暂估处理清单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支持次月冲销或替换正式入账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支持与对账和月结流程联动</w:t>
      </w:r>
    </w:p>
    <w:bookmarkEnd w:id="33"/>
    <w:bookmarkEnd w:id="34"/>
    <w:bookmarkStart w:id="40" w:name="七接口时点与状态控制要求"/>
    <w:p>
      <w:pPr>
        <w:pStyle w:val="Heading2"/>
      </w:pPr>
      <w:r>
        <w:rPr>
          <w:rFonts w:hint="eastAsia"/>
        </w:rPr>
        <w:t xml:space="preserve">七、接口时点与状态控制要求</w:t>
      </w:r>
    </w:p>
    <w:p>
      <w:pPr>
        <w:pStyle w:val="FirstParagraph"/>
      </w:pPr>
      <w:r>
        <w:rPr>
          <w:rFonts w:hint="eastAsia"/>
        </w:rPr>
        <w:t xml:space="preserve">接口建设不能只定义“传什么”，更要定义“什么时候传”。</w:t>
      </w:r>
    </w:p>
    <w:p>
      <w:pPr>
        <w:pStyle w:val="BodyText"/>
      </w:pPr>
      <w:r>
        <w:rPr>
          <w:rFonts w:hint="eastAsia"/>
        </w:rPr>
        <w:t xml:space="preserve">建议重点明确以下原则：</w:t>
      </w:r>
    </w:p>
    <w:bookmarkStart w:id="35" w:name="审核通过后才可推送"/>
    <w:p>
      <w:pPr>
        <w:pStyle w:val="Heading3"/>
      </w:pPr>
      <w:r>
        <w:t xml:space="preserve">1. </w:t>
      </w:r>
      <w:r>
        <w:rPr>
          <w:rFonts w:hint="eastAsia"/>
        </w:rPr>
        <w:t xml:space="preserve">审核通过后才可推送</w:t>
      </w:r>
    </w:p>
    <w:p>
      <w:pPr>
        <w:pStyle w:val="FirstParagraph"/>
      </w:pPr>
      <w:r>
        <w:rPr>
          <w:rFonts w:hint="eastAsia"/>
        </w:rPr>
        <w:t xml:space="preserve">原则上只有业务事实已经成立的单据，才能推送</w:t>
      </w:r>
      <w:r>
        <w:t xml:space="preserve"> NC。</w:t>
      </w:r>
    </w:p>
    <w:bookmarkEnd w:id="35"/>
    <w:bookmarkStart w:id="36" w:name="已推送成功单据应受控修改"/>
    <w:p>
      <w:pPr>
        <w:pStyle w:val="Heading3"/>
      </w:pPr>
      <w:r>
        <w:t xml:space="preserve">2. </w:t>
      </w:r>
      <w:r>
        <w:rPr>
          <w:rFonts w:hint="eastAsia"/>
        </w:rPr>
        <w:t xml:space="preserve">已推送成功单据应受控修改</w:t>
      </w:r>
    </w:p>
    <w:p>
      <w:pPr>
        <w:pStyle w:val="FirstParagraph"/>
      </w:pPr>
      <w:r>
        <w:rPr>
          <w:rFonts w:hint="eastAsia"/>
        </w:rPr>
        <w:t xml:space="preserve">已形成财务处理依据的单据，不应允许任意修改；如需调整，应通过红冲、冲销、补差等受控方式实现。</w:t>
      </w:r>
    </w:p>
    <w:bookmarkEnd w:id="36"/>
    <w:bookmarkStart w:id="37" w:name="已结账期间单据需严格限制"/>
    <w:p>
      <w:pPr>
        <w:pStyle w:val="Heading3"/>
      </w:pPr>
      <w:r>
        <w:t xml:space="preserve">3. </w:t>
      </w:r>
      <w:r>
        <w:rPr>
          <w:rFonts w:hint="eastAsia"/>
        </w:rPr>
        <w:t xml:space="preserve">已结账期间单据需严格限制</w:t>
      </w:r>
    </w:p>
    <w:p>
      <w:pPr>
        <w:pStyle w:val="FirstParagraph"/>
      </w:pPr>
      <w:r>
        <w:rPr>
          <w:rFonts w:hint="eastAsia"/>
        </w:rPr>
        <w:t xml:space="preserve">对已结账期间的补录、反结、重推要有明确权限和审批机制。</w:t>
      </w:r>
    </w:p>
    <w:bookmarkEnd w:id="37"/>
    <w:bookmarkStart w:id="38" w:name="接口状态应清晰可见"/>
    <w:p>
      <w:pPr>
        <w:pStyle w:val="Heading3"/>
      </w:pPr>
      <w:r>
        <w:t xml:space="preserve">4. </w:t>
      </w:r>
      <w:r>
        <w:rPr>
          <w:rFonts w:hint="eastAsia"/>
        </w:rPr>
        <w:t xml:space="preserve">接口状态应清晰可见</w:t>
      </w:r>
    </w:p>
    <w:p>
      <w:pPr>
        <w:pStyle w:val="FirstParagraph"/>
      </w:pPr>
      <w:r>
        <w:rPr>
          <w:rFonts w:hint="eastAsia"/>
        </w:rPr>
        <w:t xml:space="preserve">建议至少区分以下状态：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待推送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推送中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推送成功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推送失败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已重推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已作废/已冲销</w:t>
      </w:r>
    </w:p>
    <w:bookmarkEnd w:id="38"/>
    <w:bookmarkStart w:id="39" w:name="建议建立统一状态矩阵与回执标准"/>
    <w:p>
      <w:pPr>
        <w:pStyle w:val="Heading3"/>
      </w:pPr>
      <w:r>
        <w:t xml:space="preserve">5. </w:t>
      </w:r>
      <w:r>
        <w:rPr>
          <w:rFonts w:hint="eastAsia"/>
        </w:rPr>
        <w:t xml:space="preserve">建议建立统一状态矩阵与回执标准</w:t>
      </w:r>
    </w:p>
    <w:p>
      <w:pPr>
        <w:pStyle w:val="FirstParagraph"/>
      </w:pPr>
      <w:r>
        <w:rPr>
          <w:rFonts w:hint="eastAsia"/>
        </w:rPr>
        <w:t xml:space="preserve">建议至少形成以下四类状态，并建立对应关系：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业务单据状态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草稿、待审、已审、已作废、已冲销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反映业务事实是否成立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接口推送状态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待推送、推送中、推送成功、推送失败、已重推、已关闭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反映接口执行过程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财务处理状态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未接收、已接收、已记账、已退回、已冲销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</w:t>
            </w:r>
            <w:r>
              <w:t xml:space="preserve"> NC </w:t>
            </w:r>
            <w:r>
              <w:rPr>
                <w:rFonts w:hint="eastAsia"/>
              </w:rPr>
              <w:t xml:space="preserve">侧处理结果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期间状态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未结账、已结账、已反结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反映是否允许补录、重推和调整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同时建议统一最小回执字段，包括但不限于：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interfaceId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sourceBillNo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orgCode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receiptStatus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receiptTime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ncVoucherNo</w:t>
      </w:r>
      <w:r>
        <w:rPr>
          <w:rFonts w:hint="eastAsia"/>
        </w:rPr>
        <w:t xml:space="preserve">（如已生成）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errorCode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errorMessage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retryNo</w:t>
      </w:r>
    </w:p>
    <w:p>
      <w:pPr>
        <w:pStyle w:val="FirstParagraph"/>
      </w:pPr>
      <w:r>
        <w:rPr>
          <w:rFonts w:hint="eastAsia"/>
        </w:rPr>
        <w:t xml:space="preserve">幂等控制建议至少以</w:t>
      </w:r>
      <w:r>
        <w:t xml:space="preserve"> </w:t>
      </w:r>
      <w:r>
        <w:rPr>
          <w:rStyle w:val="VerbatimChar"/>
        </w:rPr>
        <w:t xml:space="preserve">interfaceId + sourceBillNo + orgCode</w:t>
      </w:r>
      <w:r>
        <w:t xml:space="preserve"> </w:t>
      </w:r>
      <w:r>
        <w:rPr>
          <w:rFonts w:hint="eastAsia"/>
        </w:rPr>
        <w:t xml:space="preserve">作为业务唯一键，并明确：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同一键值重复推送且报文一致时，返回幂等成功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同一键值重复推送但报文不一致时，返回业务冲突并禁止覆盖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已结账期间的单据不得通过“重复推送”规避正常审批与反结流程</w:t>
      </w:r>
    </w:p>
    <w:bookmarkEnd w:id="39"/>
    <w:bookmarkEnd w:id="40"/>
    <w:bookmarkStart w:id="46" w:name="八异常处理与对账需求"/>
    <w:p>
      <w:pPr>
        <w:pStyle w:val="Heading2"/>
      </w:pPr>
      <w:r>
        <w:rPr>
          <w:rFonts w:hint="eastAsia"/>
        </w:rPr>
        <w:t xml:space="preserve">八、异常处理与对账需求</w:t>
      </w:r>
    </w:p>
    <w:p>
      <w:pPr>
        <w:pStyle w:val="FirstParagraph"/>
      </w:pPr>
      <w:r>
        <w:rPr>
          <w:rFonts w:hint="eastAsia"/>
        </w:rPr>
        <w:t xml:space="preserve">接口真正难的往往不是“正常推送”，而是异常和差异处理。</w:t>
      </w:r>
    </w:p>
    <w:p>
      <w:pPr>
        <w:pStyle w:val="BodyText"/>
      </w:pPr>
      <w:r>
        <w:rPr>
          <w:rFonts w:hint="eastAsia"/>
        </w:rPr>
        <w:t xml:space="preserve">一期建议明确以下能力：</w:t>
      </w:r>
    </w:p>
    <w:bookmarkStart w:id="41" w:name="失败可查"/>
    <w:p>
      <w:pPr>
        <w:pStyle w:val="Heading3"/>
      </w:pPr>
      <w:r>
        <w:t xml:space="preserve">1. </w:t>
      </w:r>
      <w:r>
        <w:rPr>
          <w:rFonts w:hint="eastAsia"/>
        </w:rPr>
        <w:t xml:space="preserve">失败可查</w:t>
      </w:r>
    </w:p>
    <w:p>
      <w:pPr>
        <w:pStyle w:val="FirstParagraph"/>
      </w:pPr>
      <w:r>
        <w:rPr>
          <w:rFonts w:hint="eastAsia"/>
        </w:rPr>
        <w:t xml:space="preserve">应能查看：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哪张单据失败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失败时间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失败原因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返回信息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当前处理人</w:t>
      </w:r>
    </w:p>
    <w:bookmarkEnd w:id="41"/>
    <w:bookmarkStart w:id="42" w:name="失败可重推"/>
    <w:p>
      <w:pPr>
        <w:pStyle w:val="Heading3"/>
      </w:pPr>
      <w:r>
        <w:t xml:space="preserve">2. </w:t>
      </w:r>
      <w:r>
        <w:rPr>
          <w:rFonts w:hint="eastAsia"/>
        </w:rPr>
        <w:t xml:space="preserve">失败可重推</w:t>
      </w:r>
    </w:p>
    <w:p>
      <w:pPr>
        <w:pStyle w:val="FirstParagraph"/>
      </w:pPr>
      <w:r>
        <w:rPr>
          <w:rFonts w:hint="eastAsia"/>
        </w:rPr>
        <w:t xml:space="preserve">应支持：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人工重推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必要场景下自动补偿重试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重推过程留痕</w:t>
      </w:r>
    </w:p>
    <w:bookmarkEnd w:id="42"/>
    <w:bookmarkStart w:id="43" w:name="差异可对账"/>
    <w:p>
      <w:pPr>
        <w:pStyle w:val="Heading3"/>
      </w:pPr>
      <w:r>
        <w:t xml:space="preserve">3. </w:t>
      </w:r>
      <w:r>
        <w:rPr>
          <w:rFonts w:hint="eastAsia"/>
        </w:rPr>
        <w:t xml:space="preserve">差异可对账</w:t>
      </w:r>
    </w:p>
    <w:p>
      <w:pPr>
        <w:pStyle w:val="FirstParagraph"/>
      </w:pPr>
      <w:r>
        <w:rPr>
          <w:rFonts w:hint="eastAsia"/>
        </w:rPr>
        <w:t xml:space="preserve">应支持形成差异清单，便于物资和财务联合核对，包括：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金额差异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数量差异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映射缺失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单位不一致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状态不一致</w:t>
      </w:r>
    </w:p>
    <w:bookmarkEnd w:id="43"/>
    <w:bookmarkStart w:id="44" w:name="问题可闭环"/>
    <w:p>
      <w:pPr>
        <w:pStyle w:val="Heading3"/>
      </w:pPr>
      <w:r>
        <w:t xml:space="preserve">4. </w:t>
      </w:r>
      <w:r>
        <w:rPr>
          <w:rFonts w:hint="eastAsia"/>
        </w:rPr>
        <w:t xml:space="preserve">问题可闭环</w:t>
      </w:r>
    </w:p>
    <w:p>
      <w:pPr>
        <w:pStyle w:val="FirstParagraph"/>
      </w:pPr>
      <w:r>
        <w:rPr>
          <w:rFonts w:hint="eastAsia"/>
        </w:rPr>
        <w:t xml:space="preserve">对异常接口，应明确：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谁负责分析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谁负责修正主数据或业务单据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谁负责再次推送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谁确认问题已关闭</w:t>
      </w:r>
    </w:p>
    <w:bookmarkEnd w:id="44"/>
    <w:bookmarkStart w:id="45" w:name="对账与封账操作骨架"/>
    <w:p>
      <w:pPr>
        <w:pStyle w:val="Heading3"/>
      </w:pPr>
      <w:r>
        <w:t xml:space="preserve">5. </w:t>
      </w:r>
      <w:r>
        <w:rPr>
          <w:rFonts w:hint="eastAsia"/>
        </w:rPr>
        <w:t xml:space="preserve">对账与封账操作骨架</w:t>
      </w:r>
    </w:p>
    <w:p>
      <w:pPr>
        <w:pStyle w:val="FirstParagraph"/>
      </w:pPr>
      <w:r>
        <w:rPr>
          <w:rFonts w:hint="eastAsia"/>
        </w:rPr>
        <w:t xml:space="preserve">建议至少明确以下日常与月末操作责任：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每日接口巡检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检查前一日失败、超时、未回执接口并闭环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物资接口管理员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每日差异处理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对主数据缺失、金额差异、状态不一致逐条处理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物资</w:t>
            </w:r>
            <w:r>
              <w:t xml:space="preserve"> + </w:t>
            </w:r>
            <w:r>
              <w:rPr>
                <w:rFonts w:hint="eastAsia"/>
              </w:rPr>
              <w:t xml:space="preserve">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月末对账前检查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未映射、未推送、失败重推、暂估清单、盘盈盘亏、手工调整台账全部核对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物资</w:t>
            </w:r>
            <w:r>
              <w:t xml:space="preserve"> + </w:t>
            </w:r>
            <w:r>
              <w:rPr>
                <w:rFonts w:hint="eastAsia"/>
              </w:rPr>
              <w:t xml:space="preserve">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对账完成后由双方确认是否封账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物资负责人</w:t>
            </w:r>
            <w:r>
              <w:t xml:space="preserve"> + </w:t>
            </w:r>
            <w:r>
              <w:rPr>
                <w:rFonts w:hint="eastAsia"/>
              </w:rPr>
              <w:t xml:space="preserve">财务负责人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封账后补单/反结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必须走申请、审批、反结/重推、留痕流程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+ </w:t>
            </w:r>
            <w:r>
              <w:rPr>
                <w:rFonts w:hint="eastAsia"/>
              </w:rPr>
              <w:t xml:space="preserve">信息化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建议将以下内容作为封账前最低检查项：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主数据映射缺失已清零或已有书面说明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接口失败单据已处理完毕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暂估清单和冲销清单已确认</w:t>
      </w:r>
    </w:p>
    <w:p>
      <w:pPr>
        <w:pStyle w:val="Compact"/>
        <w:numPr>
          <w:ilvl w:val="0"/>
          <w:numId w:val="1031"/>
        </w:numPr>
      </w:pPr>
      <w:r>
        <w:t xml:space="preserve">NC </w:t>
      </w:r>
      <w:r>
        <w:rPr>
          <w:rFonts w:hint="eastAsia"/>
        </w:rPr>
        <w:t xml:space="preserve">手工调整台账已对齐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重大差异已明确原因和责任人</w:t>
      </w:r>
    </w:p>
    <w:p>
      <w:pPr>
        <w:pStyle w:val="FirstParagraph"/>
      </w:pPr>
      <w:r>
        <w:rPr>
          <w:rFonts w:hint="eastAsia"/>
        </w:rPr>
        <w:t xml:space="preserve">后续建议据此单独形成《财务接口对账与异常处理</w:t>
      </w:r>
      <w:r>
        <w:t xml:space="preserve"> SOP》。</w:t>
      </w:r>
    </w:p>
    <w:bookmarkEnd w:id="45"/>
    <w:bookmarkEnd w:id="46"/>
    <w:bookmarkStart w:id="50" w:name="九招标与实施阶段建议写入的重点要求"/>
    <w:p>
      <w:pPr>
        <w:pStyle w:val="Heading2"/>
      </w:pPr>
      <w:r>
        <w:rPr>
          <w:rFonts w:hint="eastAsia"/>
        </w:rPr>
        <w:t xml:space="preserve">九、招标与实施阶段建议写入的重点要求</w:t>
      </w:r>
    </w:p>
    <w:p>
      <w:pPr>
        <w:pStyle w:val="FirstParagraph"/>
      </w:pPr>
      <w:r>
        <w:rPr>
          <w:rFonts w:hint="eastAsia"/>
        </w:rPr>
        <w:t xml:space="preserve">为避免后续供应商理解偏差，建议在招标或技术要求中明确写入以下内容：</w:t>
      </w:r>
    </w:p>
    <w:bookmarkStart w:id="47" w:name="接口责任边界"/>
    <w:p>
      <w:pPr>
        <w:pStyle w:val="Heading3"/>
      </w:pPr>
      <w:r>
        <w:t xml:space="preserve">1. </w:t>
      </w:r>
      <w:r>
        <w:rPr>
          <w:rFonts w:hint="eastAsia"/>
        </w:rPr>
        <w:t xml:space="preserve">接口责任边界</w:t>
      </w:r>
    </w:p>
    <w:p>
      <w:pPr>
        <w:pStyle w:val="FirstParagraph"/>
      </w:pPr>
      <w:r>
        <w:rPr>
          <w:rFonts w:hint="eastAsia"/>
        </w:rPr>
        <w:t xml:space="preserve">需明确：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物资系统负责哪些数据准备和业务校验</w:t>
      </w:r>
    </w:p>
    <w:p>
      <w:pPr>
        <w:pStyle w:val="Compact"/>
        <w:numPr>
          <w:ilvl w:val="0"/>
          <w:numId w:val="1032"/>
        </w:numPr>
      </w:pPr>
      <w:r>
        <w:t xml:space="preserve">NC </w:t>
      </w:r>
      <w:r>
        <w:rPr>
          <w:rFonts w:hint="eastAsia"/>
        </w:rPr>
        <w:t xml:space="preserve">侧负责哪些接收、处理和回执能力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双方开发商的联调责任如何划分</w:t>
      </w:r>
    </w:p>
    <w:bookmarkEnd w:id="47"/>
    <w:bookmarkStart w:id="48" w:name="接口实施交付要求"/>
    <w:p>
      <w:pPr>
        <w:pStyle w:val="Heading3"/>
      </w:pPr>
      <w:r>
        <w:t xml:space="preserve">2. </w:t>
      </w:r>
      <w:r>
        <w:rPr>
          <w:rFonts w:hint="eastAsia"/>
        </w:rPr>
        <w:t xml:space="preserve">接口实施交付要求</w:t>
      </w:r>
    </w:p>
    <w:p>
      <w:pPr>
        <w:pStyle w:val="FirstParagraph"/>
      </w:pPr>
      <w:r>
        <w:rPr>
          <w:rFonts w:hint="eastAsia"/>
        </w:rPr>
        <w:t xml:space="preserve">建议要求供应商提交：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接口清单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字段映射说明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状态矩阵与回执字段说明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错误码与错误处理机制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对账机制说明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联调方案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测试用例与验收标准</w:t>
      </w:r>
    </w:p>
    <w:bookmarkEnd w:id="48"/>
    <w:bookmarkStart w:id="49" w:name="初始化与迁移要求"/>
    <w:p>
      <w:pPr>
        <w:pStyle w:val="Heading3"/>
      </w:pPr>
      <w:r>
        <w:t xml:space="preserve">3. </w:t>
      </w:r>
      <w:r>
        <w:rPr>
          <w:rFonts w:hint="eastAsia"/>
        </w:rPr>
        <w:t xml:space="preserve">初始化与迁移要求</w:t>
      </w:r>
    </w:p>
    <w:p>
      <w:pPr>
        <w:pStyle w:val="FirstParagraph"/>
      </w:pPr>
      <w:r>
        <w:rPr>
          <w:rFonts w:hint="eastAsia"/>
        </w:rPr>
        <w:t xml:space="preserve">建议明确：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历史映射如何导入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数据清洗由谁负责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上线前如何试跑与核对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首月运行期间如何保障业务和财务稳定</w:t>
      </w:r>
    </w:p>
    <w:bookmarkEnd w:id="49"/>
    <w:bookmarkEnd w:id="50"/>
    <w:bookmarkStart w:id="51" w:name="十建议优先确认的接口问题"/>
    <w:p>
      <w:pPr>
        <w:pStyle w:val="Heading2"/>
      </w:pPr>
      <w:r>
        <w:rPr>
          <w:rFonts w:hint="eastAsia"/>
        </w:rPr>
        <w:t xml:space="preserve">十、建议优先确认的接口问题</w:t>
      </w:r>
    </w:p>
    <w:p>
      <w:pPr>
        <w:pStyle w:val="FirstParagraph"/>
      </w:pPr>
      <w:r>
        <w:rPr>
          <w:rFonts w:hint="eastAsia"/>
        </w:rPr>
        <w:t xml:space="preserve">建议尽快明确以下问题：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正式集成标准采用</w:t>
      </w:r>
      <w:r>
        <w:t xml:space="preserve"> API + JSON </w:t>
      </w:r>
      <w:r>
        <w:rPr>
          <w:rFonts w:hint="eastAsia"/>
        </w:rPr>
        <w:t xml:space="preserve">后，是否需要消息机制作为内部异步实现手段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是否采用</w:t>
      </w:r>
      <w:r>
        <w:t xml:space="preserve"> N:1 </w:t>
      </w:r>
      <w:r>
        <w:rPr>
          <w:rFonts w:hint="eastAsia"/>
        </w:rPr>
        <w:t xml:space="preserve">映射作为正式方案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计量单位统一字典的维护归口如何确定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集团组织架构与财务核算组织口径的映射规则如何确定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暂估价格和正式入账差异如何处理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跨组织调拨是否触发财务内部结算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接口状态矩阵、回执字段与幂等键标准如何统一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接口失败的自动补偿策略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月结后单据调整的接口处理方式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对账与封账</w:t>
      </w:r>
      <w:r>
        <w:t xml:space="preserve"> SOP </w:t>
      </w:r>
      <w:r>
        <w:rPr>
          <w:rFonts w:hint="eastAsia"/>
        </w:rPr>
        <w:t xml:space="preserve">的责任分工和时间节点如何确定</w:t>
      </w:r>
    </w:p>
    <w:bookmarkEnd w:id="51"/>
    <w:bookmarkStart w:id="52" w:name="十一一期验收建议关注点"/>
    <w:p>
      <w:pPr>
        <w:pStyle w:val="Heading2"/>
      </w:pPr>
      <w:r>
        <w:rPr>
          <w:rFonts w:hint="eastAsia"/>
        </w:rPr>
        <w:t xml:space="preserve">十一、一期验收建议关注点</w:t>
      </w:r>
    </w:p>
    <w:p>
      <w:pPr>
        <w:pStyle w:val="FirstParagraph"/>
      </w:pPr>
      <w:r>
        <w:rPr>
          <w:rFonts w:hint="eastAsia"/>
        </w:rPr>
        <w:t xml:space="preserve">一期验收时，除页面和功能外，建议重点看以下内容：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主数据映射是否完整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典型业务单据是否能稳定触发财务处理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异常接口是否能提示、追踪、重推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对账清单是否可用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月末暂估与冲销流程是否可执行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已推送与已结账单据是否具备受控机制</w:t>
      </w:r>
    </w:p>
    <w:bookmarkEnd w:id="52"/>
    <w:bookmarkStart w:id="53" w:name="十二一句话总结"/>
    <w:p>
      <w:pPr>
        <w:pStyle w:val="Heading2"/>
      </w:pPr>
      <w:r>
        <w:rPr>
          <w:rFonts w:hint="eastAsia"/>
        </w:rPr>
        <w:t xml:space="preserve">十二、一句话总结</w:t>
      </w:r>
    </w:p>
    <w:p>
      <w:pPr>
        <w:pStyle w:val="FirstParagraph"/>
      </w:pPr>
      <w:r>
        <w:rPr>
          <w:rFonts w:hint="eastAsia"/>
        </w:rPr>
        <w:t xml:space="preserve">财务与</w:t>
      </w:r>
      <w:r>
        <w:t xml:space="preserve"> NC </w:t>
      </w:r>
      <w:r>
        <w:rPr>
          <w:rFonts w:hint="eastAsia"/>
        </w:rPr>
        <w:t xml:space="preserve">接口建设的核心，不是“做几个接口”，而是：</w:t>
      </w:r>
    </w:p>
    <w:p>
      <w:pPr>
        <w:pStyle w:val="BodyText"/>
      </w:pPr>
      <w:r>
        <w:rPr>
          <w:rFonts w:hint="eastAsia"/>
          <w:b/>
          <w:bCs/>
        </w:rPr>
        <w:t xml:space="preserve">建立一套可落地、可追溯、可对账、可招标、可实施的业财协同规则。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2026-03-26T01:01:48Z</dcterms:created>
  <dcterms:modified xsi:type="dcterms:W3CDTF">2026-03-26T01:01:48Z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