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6EAFE">
      <w:pPr>
        <w:pStyle w:val="6"/>
        <w:rPr>
          <w:rFonts w:hint="default" w:eastAsia="方正小标宋简体"/>
          <w:lang w:val="en-US" w:eastAsia="zh-CN"/>
        </w:rPr>
      </w:pPr>
      <w:r>
        <w:t>阜矿集团物资管理系统</w:t>
      </w:r>
      <w:r>
        <w:rPr>
          <w:rFonts w:hint="eastAsia"/>
          <w:lang w:val="en-US" w:eastAsia="zh-CN"/>
        </w:rPr>
        <w:t>开发项目</w:t>
      </w:r>
    </w:p>
    <w:p w14:paraId="270F55D3">
      <w:pPr>
        <w:pStyle w:val="6"/>
        <w:rPr>
          <w:rFonts w:hint="default" w:eastAsia="方正小标宋简体"/>
          <w:lang w:val="en-US" w:eastAsia="zh-CN"/>
        </w:rPr>
      </w:pPr>
      <w:r>
        <w:t>功能</w:t>
      </w:r>
      <w:r>
        <w:rPr>
          <w:rFonts w:hint="eastAsia"/>
          <w:lang w:val="en-US" w:eastAsia="zh-CN"/>
        </w:rPr>
        <w:t>及板块</w:t>
      </w:r>
      <w:r>
        <w:t>需求</w:t>
      </w:r>
      <w:r>
        <w:rPr>
          <w:rFonts w:hint="eastAsia"/>
          <w:lang w:val="en-US" w:eastAsia="zh-CN"/>
        </w:rPr>
        <w:t>情况报告</w:t>
      </w:r>
    </w:p>
    <w:p w14:paraId="4260D758">
      <w:pPr>
        <w:pStyle w:val="7"/>
      </w:pPr>
    </w:p>
    <w:p w14:paraId="4C3450C3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次物资管理系统升级以贴合集团业务实际、满足能源集团管理要求、适配信创政策为核心，立足全业务流程数字化、数据互通化、管理智能化建设目标，打造覆盖全层级、全品类、全生命周期的物资管理平台，整体功能需达到以下要求，且与各板块功能形成协同互补，支撑系统整体高效运行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  <w:lang w:val="en-US" w:eastAsia="zh-CN"/>
        </w:rPr>
        <w:t>整体功能要求如下，各版块需求见附件表格</w:t>
      </w:r>
      <w:r>
        <w:rPr>
          <w:rFonts w:hint="eastAsia" w:ascii="仿宋" w:hAnsi="仿宋" w:eastAsia="仿宋" w:cs="仿宋"/>
        </w:rPr>
        <w:t>：</w:t>
      </w:r>
    </w:p>
    <w:p w14:paraId="3AC22E1E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1.</w:t>
      </w:r>
      <w:r>
        <w:rPr>
          <w:rFonts w:hint="eastAsia" w:ascii="仿宋" w:hAnsi="仿宋" w:eastAsia="仿宋" w:cs="仿宋"/>
        </w:rPr>
        <w:t>国产化信创适配：系统技术架构、数据管理、开发语言等全面符合国家信创政策要求，硬件配备实现国产化，软件适配国产化操作系统与数据库，满足国家政策合规性及集团信息化安全管理要求。</w:t>
      </w:r>
    </w:p>
    <w:p w14:paraId="236D2209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2.</w:t>
      </w:r>
      <w:r>
        <w:rPr>
          <w:rFonts w:hint="eastAsia" w:ascii="仿宋" w:hAnsi="仿宋" w:eastAsia="仿宋" w:cs="仿宋"/>
        </w:rPr>
        <w:t>跨平台多端互通：支持电脑、手机等多终端同步操作，实现数据实时共享、功能全端适配，满足移动办公、现场作业等多场景使用需求，各终端操作记录统一归集、同步更新。</w:t>
      </w:r>
    </w:p>
    <w:p w14:paraId="4CEA355D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3.</w:t>
      </w:r>
      <w:r>
        <w:rPr>
          <w:rFonts w:hint="eastAsia" w:ascii="仿宋" w:hAnsi="仿宋" w:eastAsia="仿宋" w:cs="仿宋"/>
        </w:rPr>
        <w:t>全层级系统部署：系统覆盖集团物资公司、各矿供应科、基层段队等所有物资管理相关层级，打通基层管理断层，实现从基层申报到集团统筹的全链条线上管理，消除信息孤岛。</w:t>
      </w:r>
    </w:p>
    <w:p w14:paraId="43DF97F6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4.</w:t>
      </w:r>
      <w:r>
        <w:rPr>
          <w:rFonts w:hint="eastAsia" w:ascii="仿宋" w:hAnsi="仿宋" w:eastAsia="仿宋" w:cs="仿宋"/>
        </w:rPr>
        <w:t>全板块数据联动：库存管理、计划管理、招投标管理等各板块核心数据互联互通，形成统一数据中台，实现数据一次录入、多板块复用，避免重复录入，保障数据一致性。</w:t>
      </w:r>
    </w:p>
    <w:p w14:paraId="53531E24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5.</w:t>
      </w:r>
      <w:r>
        <w:rPr>
          <w:rFonts w:hint="eastAsia" w:ascii="仿宋" w:hAnsi="仿宋" w:eastAsia="仿宋" w:cs="仿宋"/>
        </w:rPr>
        <w:t>能源集团平台对接：完成与能源集团电子商务平台的深度数据对接，适配平台数据格式要求，实现招标/非招标采购结果、物资编码、采购计划等数据的双向自动同步，无需人工二次录入。</w:t>
      </w:r>
    </w:p>
    <w:p w14:paraId="7C0E56C6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6.</w:t>
      </w:r>
      <w:r>
        <w:rPr>
          <w:rFonts w:hint="eastAsia" w:ascii="仿宋" w:hAnsi="仿宋" w:eastAsia="仿宋" w:cs="仿宋"/>
        </w:rPr>
        <w:t>财务系统无缝衔接：与集团财务系统实现数据对接，系统内采购、合同、入库等业务数据可自动转化为财务凭证，支持往来账、进度款、设备折旧等财务数据的提取与同步，实现业财一体化。</w:t>
      </w:r>
    </w:p>
    <w:p w14:paraId="217EBA58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7.</w:t>
      </w:r>
      <w:r>
        <w:rPr>
          <w:rFonts w:hint="eastAsia" w:ascii="仿宋" w:hAnsi="仿宋" w:eastAsia="仿宋" w:cs="仿宋"/>
        </w:rPr>
        <w:t>操作权限精细管控：建立基于角色、岗位、层级的多维度权限管理体系，支持权限灵活配置与同步调整，人员岗位变动后历史业务数据可正常查看，保障业务连续性与数据安全性。</w:t>
      </w:r>
    </w:p>
    <w:p w14:paraId="5DEE18E2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8.</w:t>
      </w:r>
      <w:r>
        <w:rPr>
          <w:rFonts w:hint="eastAsia" w:ascii="仿宋" w:hAnsi="仿宋" w:eastAsia="仿宋" w:cs="仿宋"/>
        </w:rPr>
        <w:t>全流程操作留痕：系统内所有业务操作（计划申报/变更、合同审批、物资移拨、设备调拨等）均实现全程记录留痕，保留操作人、操作时间、操作内容、审批意见等关键信息，满足审计追溯要求。</w:t>
      </w:r>
    </w:p>
    <w:p w14:paraId="2667DEFC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9.</w:t>
      </w:r>
      <w:r>
        <w:rPr>
          <w:rFonts w:hint="eastAsia" w:ascii="仿宋" w:hAnsi="仿宋" w:eastAsia="仿宋" w:cs="仿宋"/>
        </w:rPr>
        <w:t>数据安全与私有化：保障集团物资管理全量数据私有化存储，建立完善的数据备份、防篡改、防泄露机制，严格管控数据访问与导出权限，确保核心经营数据与资产数据安全。</w:t>
      </w:r>
    </w:p>
    <w:p w14:paraId="3ABC000C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10.</w:t>
      </w:r>
      <w:r>
        <w:rPr>
          <w:rFonts w:hint="eastAsia" w:ascii="仿宋" w:hAnsi="仿宋" w:eastAsia="仿宋" w:cs="仿宋"/>
        </w:rPr>
        <w:t>智能提醒与预警：针对合同到期、审批节点、资质过期、库存超储/不足、付款账期等关键节点，实现系统自动提醒与预警，降低经营风险，提升管理主动性。</w:t>
      </w:r>
    </w:p>
    <w:p w14:paraId="5CF87203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11.</w:t>
      </w:r>
      <w:r>
        <w:rPr>
          <w:rFonts w:hint="eastAsia" w:ascii="仿宋" w:hAnsi="仿宋" w:eastAsia="仿宋" w:cs="仿宋"/>
        </w:rPr>
        <w:t>灵活的查询与导出：支持多条件、多口径的精准数据查询，可按需求自定义生成统计报表，所有数据与报表支持在线打印、多种格式导出，满足日常管理与经营分析需求。</w:t>
      </w:r>
    </w:p>
    <w:p w14:paraId="51216491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12.</w:t>
      </w:r>
      <w:r>
        <w:rPr>
          <w:rFonts w:hint="eastAsia" w:ascii="仿宋" w:hAnsi="仿宋" w:eastAsia="仿宋" w:cs="仿宋"/>
        </w:rPr>
        <w:t>系统可扩展性与维护性：采用先进、成熟的技术架构，保障系统具备良好的可扩展性，可根据集团业务发展、能源集团管理要求调整，灵活新增功能模块；同时降低系统维护难度，支持后续常态化的功能优化与问题修复。</w:t>
      </w:r>
    </w:p>
    <w:p w14:paraId="3313D09C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13.</w:t>
      </w:r>
      <w:r>
        <w:rPr>
          <w:rFonts w:hint="eastAsia" w:ascii="仿宋" w:hAnsi="仿宋" w:eastAsia="仿宋" w:cs="仿宋"/>
        </w:rPr>
        <w:t>新旧系统平稳过渡：系统建设过程中实现与原有物资管理系统的并行运行，制定科学的历史数据清洗、迁移方案，确保数据完整性与准确性，平稳完成系统切换，不影响物资采购、供应、管理等核心业务的正常开展。</w:t>
      </w:r>
    </w:p>
    <w:p w14:paraId="08BB521D">
      <w:pPr>
        <w:pStyle w:val="7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14.</w:t>
      </w:r>
      <w:r>
        <w:rPr>
          <w:rFonts w:hint="eastAsia" w:ascii="仿宋" w:hAnsi="仿宋" w:eastAsia="仿宋" w:cs="仿宋"/>
        </w:rPr>
        <w:t>操作便捷性与易上手：优化系统界面与操作流程，简化复杂操作步骤，增加操作指引与提示功能，降低新用户学习成本，适配不同岗位业务人员的操作习惯，提升系统使用效率。</w:t>
      </w:r>
    </w:p>
    <w:p w14:paraId="0C035CE6">
      <w:pPr>
        <w:pStyle w:val="7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附：物资管理系统开发项目主要板块及功能需求清单</w:t>
      </w:r>
    </w:p>
    <w:p w14:paraId="34B9569B">
      <w:pPr>
        <w:pStyle w:val="7"/>
        <w:ind w:firstLine="3840" w:firstLineChars="120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阜矿集团物资公司</w:t>
      </w:r>
    </w:p>
    <w:p w14:paraId="469F00CA">
      <w:pPr>
        <w:pStyle w:val="7"/>
        <w:ind w:firstLine="3840" w:firstLineChars="1200"/>
      </w:pPr>
      <w:r>
        <w:rPr>
          <w:rFonts w:hint="eastAsia" w:ascii="仿宋" w:hAnsi="仿宋" w:eastAsia="仿宋" w:cs="仿宋"/>
          <w:lang w:val="en-US" w:eastAsia="zh-CN"/>
        </w:rPr>
        <w:t>2026年3月21日</w:t>
      </w:r>
    </w:p>
    <w:tbl>
      <w:tblPr>
        <w:tblStyle w:val="4"/>
        <w:tblW w:w="105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241"/>
        <w:gridCol w:w="8488"/>
      </w:tblGrid>
      <w:tr w14:paraId="01401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10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332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物资管理系统开发项目主要板块及功能需求清单</w:t>
            </w:r>
          </w:p>
        </w:tc>
      </w:tr>
      <w:tr w14:paraId="3C7E0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5B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55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系统板块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7B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核心功能需求</w:t>
            </w:r>
          </w:p>
        </w:tc>
      </w:tr>
      <w:tr w14:paraId="0B67B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9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5F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库存管理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1D9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支持业务员、保管员、审核人等多角色权限分级办理物资日常收发存操作，入库支持照片拍照保存，操作留痕可追溯</w:t>
            </w:r>
          </w:p>
        </w:tc>
      </w:tr>
      <w:tr w14:paraId="295CB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004E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1FB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BE9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物供系统部署至矿基层段队供应部门，在系统内办理物资收、发、存，各单位供应部门可实时查看本单位基层段队库存明细、物料结存情况</w:t>
            </w:r>
          </w:p>
        </w:tc>
      </w:tr>
      <w:tr w14:paraId="38D11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7C7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F15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731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物资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公司可跨单位查询各矿、基层段队的库存动态、物料入库 / 消耗 / 移拨全流程数据</w:t>
            </w:r>
          </w:p>
        </w:tc>
      </w:tr>
      <w:tr w14:paraId="788FE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3B5C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FFAF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BC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区分权属管理库存，物理位置转移但权属未变的物资，库存归属保持不变，仅记录保管状态变更</w:t>
            </w:r>
          </w:p>
        </w:tc>
      </w:tr>
      <w:tr w14:paraId="7BEB7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3601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8609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8A6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涵盖小型设备、各类物资的库存管理，大型设备直达验收需在系统中单独记录，实现库存全品类覆盖</w:t>
            </w:r>
          </w:p>
        </w:tc>
      </w:tr>
      <w:tr w14:paraId="252BE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E1B0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5A2E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FE7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支持库存积压、超储预警，为物资调剂、采购数量核定提供数据支撑</w:t>
            </w:r>
          </w:p>
        </w:tc>
      </w:tr>
      <w:tr w14:paraId="1DD4E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06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DF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计划管理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63A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基层段队至物资公司全层级计划申报，实现区队 - 矿 - 矿供应科 - 物资公司的线上上下级审核审批，流程节点可查，操作留痕可追溯</w:t>
            </w:r>
          </w:p>
        </w:tc>
      </w:tr>
      <w:tr w14:paraId="193D9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BADE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B1A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2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支持月度、季度、年度、专项、调整计划等多类型计划的分类申报、管理及统计</w:t>
            </w:r>
          </w:p>
        </w:tc>
      </w:tr>
      <w:tr w14:paraId="2055B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BC6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10DD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5E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物资公司在系统内接收各单位汇总计划，按业务权限分配任务并编制采购计划，计划与采购环节联动</w:t>
            </w:r>
          </w:p>
        </w:tc>
      </w:tr>
      <w:tr w14:paraId="7E288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5366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1A7C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2B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实现新品计划线上申报、物资公司线上审核，新品信息与物资信息库自动关联</w:t>
            </w:r>
          </w:p>
        </w:tc>
      </w:tr>
      <w:tr w14:paraId="43FCD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4031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A004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4C2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计划的取消、变更操作全程记录留痕，保留变更原因、审批意见等关键信息</w:t>
            </w:r>
          </w:p>
        </w:tc>
      </w:tr>
      <w:tr w14:paraId="33565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71A0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E49E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082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审核通过后的计划自动对接采购文件管理，支持按标包生成采购文件并上传至指定平台</w:t>
            </w:r>
          </w:p>
        </w:tc>
      </w:tr>
      <w:tr w14:paraId="7292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BE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6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招投标管理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D57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结合辽宁能源集团电子商务平台功能，实现招标、非招标采购全流程线上管理，涵盖招标申请、文件编制、评标、结果公示等环节</w:t>
            </w:r>
          </w:p>
        </w:tc>
      </w:tr>
      <w:tr w14:paraId="24CAD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1689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6C42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6E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评标过程中自动生成评标文件、排名报表，明确中标候选人顺序，替代手工标注</w:t>
            </w:r>
          </w:p>
        </w:tc>
      </w:tr>
      <w:tr w14:paraId="3A252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5879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D4DB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0B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招投标结果可直接导入物资管理系统，与采购计划、合同管理模块自动联动</w:t>
            </w:r>
          </w:p>
        </w:tc>
      </w:tr>
      <w:tr w14:paraId="445B9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2F40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BC23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CF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支持询价、竞价等采购方式的线上操作，与供应商管理模块联动获取合格供应商信息</w:t>
            </w:r>
          </w:p>
        </w:tc>
      </w:tr>
      <w:tr w14:paraId="29AC2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2CA8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885A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51E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招投标全流程数据留存，满足审计、监管的追溯要求</w:t>
            </w:r>
          </w:p>
        </w:tc>
      </w:tr>
      <w:tr w14:paraId="5038A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21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BB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合同管理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9E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实现合同网上审批会签，按预设流程自动流转至相关部门 / 岗位，审批意见在线留痕</w:t>
            </w:r>
          </w:p>
        </w:tc>
      </w:tr>
      <w:tr w14:paraId="4C5B9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A54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9B21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737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合同编制时自动带入上游采购计划、招投标结果、物资信息库等相关数据，减少手动录入</w:t>
            </w:r>
          </w:p>
        </w:tc>
      </w:tr>
      <w:tr w14:paraId="1F0CB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293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88AD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CF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支持合同履行进度实时查询，对未执行、即将到期、超期合同进行自动提醒</w:t>
            </w:r>
          </w:p>
        </w:tc>
      </w:tr>
      <w:tr w14:paraId="77148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8DE2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9271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37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合同执行数据与财务、库存模块联动，入库、付款信息同步更新至合同台账</w:t>
            </w:r>
          </w:p>
        </w:tc>
      </w:tr>
      <w:tr w14:paraId="1EF12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96C4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F1D5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C4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建立合同全生命周期管理台账，涵盖签订、执行、变更、终止等全环节数据</w:t>
            </w:r>
          </w:p>
        </w:tc>
      </w:tr>
      <w:tr w14:paraId="2FC39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B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E9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物资信息库管理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4D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信息库包含物资编码、品名、规格、价格、安标、防爆合格证、采购方式、技术要求等全维度信息</w:t>
            </w:r>
          </w:p>
        </w:tc>
      </w:tr>
      <w:tr w14:paraId="57BC8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7220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0D96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38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物资代码按统一规则设置唯一编码，编码与物资全生命周期各环节关联，确保唯一性</w:t>
            </w:r>
          </w:p>
        </w:tc>
      </w:tr>
      <w:tr w14:paraId="7F333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EA0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506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5C2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中标结果、成交结果，采购价格等数据自动回写至信息库，实现价格信息实时更新</w:t>
            </w:r>
          </w:p>
        </w:tc>
      </w:tr>
      <w:tr w14:paraId="4FEED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E73B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55B0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3DC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按价格来源时间、采购方式（招标、询价、竞价等）对物资价格进行分类统计、查询</w:t>
            </w:r>
          </w:p>
        </w:tc>
      </w:tr>
      <w:tr w14:paraId="1D41C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E23F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FFB8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1E6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支持物资资质文件（安标、合格证等）的上传、存储、查询，资质过期自动提醒</w:t>
            </w:r>
          </w:p>
        </w:tc>
      </w:tr>
      <w:tr w14:paraId="1A16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9EF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A6B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56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作为系统核心数据库，为库存、计划、合同、采购等所有板块提供基础数据支撑，实现数据互通</w:t>
            </w:r>
          </w:p>
        </w:tc>
      </w:tr>
      <w:tr w14:paraId="29C12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7C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0A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数据统计分析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A10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支持按单位、时间、物资品类、采购方式等多口径灵活统计供应额、采购额、消耗量等核心指标</w:t>
            </w:r>
          </w:p>
        </w:tc>
      </w:tr>
      <w:tr w14:paraId="5EBA2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D941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A0CA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E2B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实现指定区间内采购价格变动趋势分析，生成可视化图表，为价格管控提供依据</w:t>
            </w:r>
          </w:p>
        </w:tc>
      </w:tr>
      <w:tr w14:paraId="5BEEA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D098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1E5D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D7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对接财务系统，将入库、出库、验收信息转换为相应财务凭证导入财务系统</w:t>
            </w:r>
          </w:p>
        </w:tc>
      </w:tr>
      <w:tr w14:paraId="7E302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E469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9A41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712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实现合同账期查询，根据付款情况自动标注合同风险等级并预警</w:t>
            </w:r>
          </w:p>
        </w:tc>
      </w:tr>
      <w:tr w14:paraId="2D88B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09A4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D926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1B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支持物资全流程追溯查询，从出库逆向查询申请计划、招标采购、合同签订、入库等全环节信息</w:t>
            </w:r>
          </w:p>
        </w:tc>
      </w:tr>
      <w:tr w14:paraId="0730E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FF24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1C8B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12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可按需求自定义导出各类统计表格、经营分析材料，支持打印、下载</w:t>
            </w:r>
          </w:p>
        </w:tc>
      </w:tr>
      <w:tr w14:paraId="029FB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D26D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EA14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7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7.统计计划完成率、物资周转率、供应商履约率等管理指标，为经营决策提供数据支撑</w:t>
            </w:r>
          </w:p>
        </w:tc>
      </w:tr>
      <w:tr w14:paraId="6461B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FF76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7CCA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2B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8.支持发票审计功能，审核各单位发票与计划、合同、中标结果、成交结果是否一致</w:t>
            </w:r>
          </w:p>
        </w:tc>
      </w:tr>
      <w:tr w14:paraId="0105A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4C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6F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供应商管理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AFF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实现潜在供应商、合格供应商、负面供应商的分类管理，建立供应商全品类台账</w:t>
            </w:r>
          </w:p>
        </w:tc>
      </w:tr>
      <w:tr w14:paraId="79F14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43A1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5951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39F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融入供应商考评机制，从履约进度、产品质量、服务水平等维度进行综合评价，评价结果与采购环节联动</w:t>
            </w:r>
          </w:p>
        </w:tc>
      </w:tr>
      <w:tr w14:paraId="55FEE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3E3F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2BAB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1F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合格供应商信息与招投标、采购计划模块联动，仅允许合格供应商参与采购活动</w:t>
            </w:r>
          </w:p>
        </w:tc>
      </w:tr>
      <w:tr w14:paraId="3C1F4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41A6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A773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0DA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记录供应商基本信息、资质文件、合作记录、考评结果等全维度数据，资质过期自动提醒</w:t>
            </w:r>
          </w:p>
        </w:tc>
      </w:tr>
      <w:tr w14:paraId="3F55E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E395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D990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77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负面供应商列入黑名单，系统限制其参与集团所有采购活动，解除限制需走审批流程</w:t>
            </w:r>
          </w:p>
        </w:tc>
      </w:tr>
      <w:tr w14:paraId="15B1F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93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76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设备资产管理</w:t>
            </w: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1F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实现设备全生命周期管理，涵盖设备入账、权属登记、租赁、调拨、检修、报废、结算等全环节</w:t>
            </w:r>
          </w:p>
        </w:tc>
      </w:tr>
      <w:tr w14:paraId="5A29A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9FD5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81D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4E8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设备权属按集团、资产公司、各矿 / 单位分级管理，明确设备归属，权属变更需线上审批并记录</w:t>
            </w:r>
          </w:p>
        </w:tc>
      </w:tr>
      <w:tr w14:paraId="50C7E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7AEB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FF8F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27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租赁管理模块支持起租、停租、租金结算等操作，租赁信息与合同、财务模块联动</w:t>
            </w:r>
          </w:p>
        </w:tc>
      </w:tr>
      <w:tr w14:paraId="6F148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18DA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9DA0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66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检修管理涵盖设备检修申请、停租、检修入库、检修完成回退等全流程，记录检修内容、费用、工期</w:t>
            </w:r>
          </w:p>
        </w:tc>
      </w:tr>
      <w:tr w14:paraId="78577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FC95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0A80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B19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设备调拨需按集团规定履行租赁 / 买卖手续，系统记录调拨原因、审批意见、权属变更等信息</w:t>
            </w:r>
          </w:p>
        </w:tc>
      </w:tr>
      <w:tr w14:paraId="10342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D22D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2A9C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901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报废管理实现设备报废申请、审核、处置全流程线上化，废旧物资处置与库存、财务模块联动</w:t>
            </w:r>
          </w:p>
        </w:tc>
      </w:tr>
      <w:tr w14:paraId="4B002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7FE3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BD32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06D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 涵盖大型、小型设备的资产管理，设备折旧信息自动计算、更新，满足财务核算要求</w:t>
            </w:r>
          </w:p>
        </w:tc>
      </w:tr>
      <w:tr w14:paraId="7C23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8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DECA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FD69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F7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 设备资产数据与库存管理模块联动，入库设备自动纳入库存台账，实现数据互通</w:t>
            </w:r>
          </w:p>
        </w:tc>
      </w:tr>
    </w:tbl>
    <w:p w14:paraId="0D8E1E44">
      <w:pPr>
        <w:pStyle w:val="7"/>
        <w:ind w:left="0" w:leftChars="0" w:firstLine="0" w:firstLineChars="0"/>
      </w:pPr>
    </w:p>
    <w:p w14:paraId="3A7DA4C2"/>
    <w:p w14:paraId="338178E2"/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2098" w:right="1474" w:bottom="1984" w:left="158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F6E63">
    <w:pPr>
      <w:pStyle w:val="2"/>
      <w:jc w:val="right"/>
      <w:rPr>
        <w:rFonts w:hint="eastAsia" w:ascii="宋体" w:hAnsi="宋体" w:eastAsia="宋体" w:cs="宋体"/>
        <w:sz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BFA683">
                          <w:pPr>
                            <w:pStyle w:val="2"/>
                            <w:jc w:val="right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instrText xml:space="preserve"> PAGE PAGE  \* ArabicDash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BFA683">
                    <w:pPr>
                      <w:pStyle w:val="2"/>
                      <w:jc w:val="right"/>
                    </w:pP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instrText xml:space="preserve"> PAGE PAGE  \* ArabicDash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92C4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4283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79EA3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CF00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41965"/>
    <w:rsid w:val="0CC2053C"/>
    <w:rsid w:val="17EE69D1"/>
    <w:rsid w:val="2D6A3D37"/>
    <w:rsid w:val="2E8E3718"/>
    <w:rsid w:val="44282A31"/>
    <w:rsid w:val="49A66B2F"/>
    <w:rsid w:val="5B060C94"/>
    <w:rsid w:val="60385072"/>
    <w:rsid w:val="6F871F44"/>
    <w:rsid w:val="7F8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OfficeAI-文件标题"/>
    <w:basedOn w:val="1"/>
    <w:qFormat/>
    <w:uiPriority w:val="0"/>
    <w:pPr>
      <w:jc w:val="center"/>
    </w:pPr>
    <w:rPr>
      <w:rFonts w:hint="eastAsia" w:ascii="方正小标宋简体" w:hAnsi="方正小标宋简体" w:eastAsia="方正小标宋简体" w:cs="方正小标宋简体"/>
      <w:color w:val="000000"/>
      <w:sz w:val="44"/>
    </w:rPr>
  </w:style>
  <w:style w:type="paragraph" w:customStyle="1" w:styleId="7">
    <w:name w:val="OfficeAI-正文"/>
    <w:basedOn w:val="1"/>
    <w:qFormat/>
    <w:uiPriority w:val="0"/>
    <w:pPr>
      <w:ind w:firstLine="420" w:firstLineChars="200"/>
    </w:pPr>
    <w:rPr>
      <w:rFonts w:hint="eastAsia" w:ascii="仿宋_GB2312" w:hAnsi="仿宋_GB2312" w:eastAsia="仿宋_GB2312" w:cs="仿宋_GB2312"/>
      <w:color w:val="000000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1400</Words>
  <Characters>1423</Characters>
  <Lines>0</Lines>
  <Paragraphs>0</Paragraphs>
  <TotalTime>28</TotalTime>
  <ScaleCrop>false</ScaleCrop>
  <LinksUpToDate>false</LinksUpToDate>
  <CharactersWithSpaces>1423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2026-03-21T02:58:00Z</dcterms:created>
  <dc:creator>Administrator</dc:creator>
  <cp:lastModifiedBy>汤云龙</cp:lastModifiedBy>
  <dcterms:modified xsi:type="dcterms:W3CDTF">2026-03-23T00:41:55Z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eyJoZGlkIjoiODUyZGNlZjdlODQ4NTAyZmM5M2I5Yzc1MTRlNzgzYWEiLCJ1c2VySWQiOiIxNjQ0MjAyNTU0In0=</vt:lpwstr>
  </property>
  <property fmtid="{D5CDD505-2E9C-101B-9397-08002B2CF9AE}" pid="4" name="ICV">
    <vt:lpwstr>0BAB01AFBBED428C8D92C98FB21F39CB_12</vt:lpwstr>
  </property>
</Properties>
</file>