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2025-07-04 新闻日报</w:t>
      </w:r>
    </w:p>
    <w:p>
      <w:pPr>
        <w:jc w:val="center"/>
      </w:pPr>
      <w:r>
        <w:t>生成时间：2025年08月13日 02:03:48</w:t>
      </w:r>
    </w:p>
    <w:p>
      <w:r>
        <w:t>==================================================</w:t>
      </w:r>
    </w:p>
    <w:p>
      <w:pPr>
        <w:pStyle w:val="Heading1"/>
      </w:pPr>
      <w:r>
        <w:t>1. 时序数据库 TDengine × SSRS：从“做报表”到“报表自己做”</w:t>
      </w:r>
    </w:p>
    <w:p>
      <w:r>
        <w:t>概述：</w:t>
      </w:r>
    </w:p>
    <w:p>
      <w:r>
        <w:t>TDengine 与 SQL Server Reporting Services（SSRS）已经完成无缝集成！高性能时序数据库 + 企业级报表平台，帮你用更少的操作、更高的效率，制作出更稳定、更规范的专业报表，彻底告别复制粘贴和手动更新。</w:t>
      </w:r>
    </w:p>
    <w:p>
      <w:r>
        <w:t>主要功能：</w:t>
      </w:r>
    </w:p>
    <w:p>
      <w:r>
        <w:t xml:space="preserve">主要步骤：https://docs.taosdata.com/third-party/bi/SSRS/ </w:t>
        <w:br/>
        <w:t>·准备环境：安装最新版 TDengine，并确保 SSRS 报表服务与 Report Builder 安装完毕，ODBC 驱动正确配置；</w:t>
        <w:br/>
        <w:t>·建立连接：在 ODBC 数据源管理器中配置 TDengine 数据源，并在 Report Builder 中通过该数据源编写查询语句；</w:t>
        <w:br/>
        <w:t>·制作报表：创建数据集、设计报表样式、添加表格组件，最后将报表上传至服务器，供组织内浏览使用。</w:t>
      </w:r>
    </w:p>
    <w:p>
      <w:r>
        <w:t>来源链接：https://docs.taosdata.com/third-party/bi/SSRS/</w:t>
      </w:r>
    </w:p>
    <w:p>
      <w:r>
        <w:t>------------------------------</w:t>
      </w:r>
    </w:p>
    <w:p>
      <w:pPr>
        <w:pStyle w:val="Heading1"/>
      </w:pPr>
      <w:r>
        <w:t>2. Robotax行业迎来新机遇！摩根大通看好百度市值破796亿</w:t>
      </w:r>
    </w:p>
    <w:p>
      <w:r>
        <w:t>概述：</w:t>
      </w:r>
    </w:p>
    <w:p>
      <w:r>
        <w:t>概述：摩根大通看好百度萝卜快跑Robotaxi潜力，研报预估市值达796亿美元；萝卜快跑全球服务超1100万次。知名投资者 Cathie Wood也对无人驾驶的未来充满信心。她表示，Waymo、百度和特斯拉将是未来十年内能实现规模化落地的三大 Robotaxi 企业。</w:t>
      </w:r>
    </w:p>
    <w:p>
      <w:r>
        <w:t>------------------------------</w:t>
      </w:r>
    </w:p>
    <w:p>
      <w:pPr>
        <w:pStyle w:val="Heading1"/>
      </w:pPr>
      <w:r>
        <w:t>3. 小鹏G7 Ultra上市，首发全新智能驾驶大模型震撼</w:t>
      </w:r>
    </w:p>
    <w:p>
      <w:r>
        <w:t>概述：</w:t>
      </w:r>
    </w:p>
    <w:p>
      <w:r>
        <w:t>概述：在新能源汽车市场上，小鹏 G7Ultra 于7月3日正式上市，成为首款搭载本地端 VLA主动思考与迅速决策能力大模型+VLM 智能座舱大模型的智能汽车。发布会宣称配备高通8295P 和图灵 AI 芯片的双旗舰芯片，G7的算力相比行业其他车型高出26倍，真正实现了 “无指令服务” 的体验。</w:t>
      </w:r>
    </w:p>
    <w:p>
      <w:r>
        <w:t>------------------------------</w:t>
      </w:r>
    </w:p>
    <w:p>
      <w:pPr>
        <w:pStyle w:val="Heading1"/>
      </w:pPr>
      <w:r>
        <w:t>4. LiblibAI推出国内版Lovart：“星流Agent”</w:t>
      </w:r>
    </w:p>
    <w:p>
      <w:r>
        <w:t>概述：</w:t>
      </w:r>
    </w:p>
    <w:p>
      <w:r>
        <w:t>概述：星流Agent支持多模态AI设计生成，定位AI设计助手，支持自然语言一键生成图像、海报、视频及3D模型等设计物料。关键优化：批量海报高效生成、中文字体完美适配；集成即梦3.0和Video3多模态模型，操作简易，提升设计效率五倍以上。</w:t>
        <w:br/>
      </w:r>
    </w:p>
    <w:p>
      <w:r>
        <w:t>------------------------------</w:t>
      </w:r>
    </w:p>
    <w:p>
      <w:pPr>
        <w:pStyle w:val="Heading1"/>
      </w:pPr>
      <w:r>
        <w:t>5. 字节跳动开源EX-4D框架：单目视频秒转自由视角4D内容</w:t>
      </w:r>
    </w:p>
    <w:p>
      <w:r>
        <w:t>概述：</w:t>
      </w:r>
    </w:p>
    <w:p>
      <w:r>
        <w:t>概述：字节跳动PICO-MR团队开源突破性4D视频生成框架EX-4D，通过深度密闭网格技术解决极端视角下物理一致性问题，仅需单目视频即可生成多视角3D时空序列。性能全面领先现有方案（70.7%用户认可极端视角效果），支持VR/AR和世界模型构建，代码已开源至GitHub。</w:t>
      </w:r>
    </w:p>
    <w:p>
      <w:r>
        <w:t>------------------------------</w:t>
      </w:r>
    </w:p>
    <w:p>
      <w:pPr>
        <w:pStyle w:val="Heading1"/>
      </w:pPr>
      <w:r>
        <w:t>6. 今日ProductHunt产品榜第一为Cursor——AI驱动的编程辅助工具</w:t>
      </w:r>
    </w:p>
    <w:p>
      <w:r>
        <w:t>概述：</w:t>
      </w:r>
    </w:p>
    <w:p>
      <w:r>
        <w:t>概述：Cursor深度融合GPT-4等大模型，核心功能为通过自然语言指令实现代码生成、重构与技术问答，包括交互式错误修复、多语言转换、文档解析及项目级代码优化。服务于快速原型开发、遗留系统维护、跨语言迁移和教育学习场景，显著降低编程门槛。</w:t>
      </w:r>
    </w:p>
    <w:p>
      <w:r>
        <w:t>------------------------------</w:t>
      </w:r>
    </w:p>
    <w:p>
      <w:pPr>
        <w:pStyle w:val="Heading1"/>
      </w:pPr>
      <w:r>
        <w:t>7. 最新国内AI排行榜中夸克AI访问量猛增</w:t>
      </w:r>
    </w:p>
    <w:p>
      <w:r>
        <w:t>概述：</w:t>
      </w:r>
    </w:p>
    <w:p>
      <w:r>
        <w:t>概述：根据猫目统计的 AI网站增长报告，夸克AI六月访问量为77.08万，对比五月激增653.26%。六月正值高考志愿填报高峰期，夸克凭借“AI高考搜索”功能精准切入市场。2024年同期数据显示，其高考相关AI服务调用量超1亿次，2025年进一步优化志愿推荐算法与职业规划功能，吸引大量学生及家长用户，推动访问量激增。</w:t>
        <w:br/>
      </w:r>
    </w:p>
    <w:p>
      <w:r>
        <w:t>------------------------------</w:t>
      </w:r>
    </w:p>
    <w:p>
      <w:pPr>
        <w:pStyle w:val="Heading1"/>
      </w:pPr>
      <w:r>
        <w:t>8. 最新国内AI排行榜中夸克AI访问量猛增</w:t>
      </w:r>
    </w:p>
    <w:p>
      <w:r>
        <w:t>概述：</w:t>
      </w:r>
    </w:p>
    <w:p>
      <w:r>
        <w:t>概述：根据猫目统计的 AI网站增长报告，夸克AI六月访问量为77.08万，对比五月激增653.26%。六月正值高考志愿填报高峰期，夸克凭借“AI高考搜索”功能精准切入市场。2024年同期数据显示，其高考相关AI服务调用量超1亿次，2025年进一步优化志愿推荐算法与职业规划功能，吸引大量学生及家长用户，推动访问量激增。</w:t>
        <w:br/>
      </w:r>
    </w:p>
    <w:p>
      <w:r>
        <w:t>------------------------------</w:t>
      </w:r>
    </w:p>
    <w:p>
      <w:pPr>
        <w:pStyle w:val="Heading1"/>
      </w:pPr>
      <w:r>
        <w:t>9. Earnify在美国 App Store 排行榜上一天上涨323位次至总榜第五</w:t>
      </w:r>
    </w:p>
    <w:p>
      <w:r>
        <w:t>概述：</w:t>
      </w:r>
    </w:p>
    <w:p>
      <w:r>
        <w:t>概述：概述：根据七麦数据显示，7月4日earnify在美国 App Store 排行榜名次激增323位次至第五，昨日下载量为3643。其核心功能在于为亚马逊Prime会员提供燃油优惠服务，覆盖全美约7,000个加油站，解决高通胀下美国消费者的燃油成本焦虑，高频刚需场景驱动流量爆发。</w:t>
        <w:br/>
      </w:r>
    </w:p>
    <w:p>
      <w:r>
        <w:t>主要功能：</w:t>
      </w:r>
    </w:p>
    <w:p>
      <w:r>
        <w:t>暂无功能描述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