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74E4" w14:textId="615E2C38" w:rsidR="00374C1A" w:rsidRPr="00AB6EEE" w:rsidRDefault="000C420B" w:rsidP="000723D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CÔNG TY TNHH TM THẠNH PHÁT</w:t>
      </w:r>
    </w:p>
    <w:p w14:paraId="74D35468" w14:textId="0C17462E" w:rsidR="000C420B" w:rsidRPr="00AB6EEE" w:rsidRDefault="000C420B" w:rsidP="000723D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sz w:val="26"/>
          <w:szCs w:val="26"/>
          <w:lang w:val="en-US"/>
        </w:rPr>
        <w:t>Số: 0612/2019/QĐ-HĐTV-TP</w:t>
      </w:r>
    </w:p>
    <w:p w14:paraId="7113D275" w14:textId="50F13E65" w:rsidR="000C420B" w:rsidRPr="00AB6EEE" w:rsidRDefault="000C420B" w:rsidP="001C3C78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CỘNG HÒA XÃ HỘI CHỦ NGHĨA VIỆT NAM</w:t>
      </w:r>
    </w:p>
    <w:p w14:paraId="51F37B1D" w14:textId="6863FEE0" w:rsidR="000C420B" w:rsidRPr="00AB6EEE" w:rsidRDefault="000C420B" w:rsidP="000723D2">
      <w:pPr>
        <w:jc w:val="center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Độc lập – Tự do – Hạnh phúc</w:t>
      </w:r>
    </w:p>
    <w:p w14:paraId="5E80BE74" w14:textId="73EC049C" w:rsidR="000723D2" w:rsidRPr="00AB6EEE" w:rsidRDefault="000C420B" w:rsidP="000723D2">
      <w:pPr>
        <w:jc w:val="center"/>
        <w:rPr>
          <w:rFonts w:asciiTheme="majorHAnsi" w:hAnsiTheme="majorHAnsi" w:cstheme="majorHAnsi"/>
          <w:sz w:val="26"/>
          <w:szCs w:val="26"/>
          <w:lang w:val="en-US"/>
        </w:rPr>
        <w:sectPr w:rsidR="000723D2" w:rsidRPr="00AB6EEE" w:rsidSect="00AC5DF9">
          <w:pgSz w:w="11906" w:h="16838" w:code="9"/>
          <w:pgMar w:top="1134" w:right="1134" w:bottom="1134" w:left="1701" w:header="709" w:footer="709" w:gutter="0"/>
          <w:cols w:num="2" w:space="397" w:equalWidth="0">
            <w:col w:w="3232" w:space="397"/>
            <w:col w:w="5442"/>
          </w:cols>
          <w:docGrid w:linePitch="360"/>
        </w:sectPr>
      </w:pPr>
      <w:r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Hà Nội, ngày </w:t>
      </w:r>
      <w:r w:rsidRPr="00AB6EEE">
        <w:rPr>
          <w:rFonts w:asciiTheme="majorHAnsi" w:hAnsiTheme="majorHAnsi" w:cstheme="majorHAnsi"/>
          <w:i/>
          <w:iCs/>
          <w:sz w:val="26"/>
          <w:szCs w:val="26"/>
          <w:lang w:val="en-US"/>
        </w:rPr>
        <w:t>05</w:t>
      </w:r>
      <w:r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 tháng </w:t>
      </w:r>
      <w:r w:rsidRPr="00AB6EEE">
        <w:rPr>
          <w:rFonts w:asciiTheme="majorHAnsi" w:hAnsiTheme="majorHAnsi" w:cstheme="majorHAnsi"/>
          <w:i/>
          <w:iCs/>
          <w:sz w:val="26"/>
          <w:szCs w:val="26"/>
          <w:lang w:val="en-US"/>
        </w:rPr>
        <w:t>12</w:t>
      </w:r>
      <w:r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 năm </w:t>
      </w:r>
      <w:r w:rsidRPr="00AB6EEE">
        <w:rPr>
          <w:rFonts w:asciiTheme="majorHAnsi" w:hAnsiTheme="majorHAnsi" w:cstheme="majorHAnsi"/>
          <w:i/>
          <w:iCs/>
          <w:sz w:val="26"/>
          <w:szCs w:val="26"/>
          <w:lang w:val="en-US"/>
        </w:rPr>
        <w:t>2019</w:t>
      </w:r>
    </w:p>
    <w:p w14:paraId="16ADC583" w14:textId="0921832C" w:rsidR="000C420B" w:rsidRPr="00AB6EEE" w:rsidRDefault="000C420B" w:rsidP="00006085">
      <w:pPr>
        <w:spacing w:before="400"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QUYẾT ĐỊNH</w:t>
      </w:r>
    </w:p>
    <w:p w14:paraId="65B1DB6A" w14:textId="6113E0BB" w:rsidR="000C420B" w:rsidRPr="00AB6EEE" w:rsidRDefault="000C420B" w:rsidP="009A7A4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V/v thành lập Chi nhánh Mê Linh</w:t>
      </w:r>
    </w:p>
    <w:p w14:paraId="52A159B2" w14:textId="0DEEA8A7" w:rsidR="000C420B" w:rsidRPr="00AB6EEE" w:rsidRDefault="000C420B" w:rsidP="000723D2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HỘI ĐỒNG THÀNH VIÊN</w:t>
      </w:r>
    </w:p>
    <w:p w14:paraId="17C8C6DE" w14:textId="1B0CEDB4" w:rsidR="000C420B" w:rsidRPr="00AB6EEE" w:rsidRDefault="000C420B" w:rsidP="009A7A4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CÔNG TY TNHH THƯƠNG MẠI MẠNH PHÁT</w:t>
      </w:r>
    </w:p>
    <w:p w14:paraId="5A07E2CA" w14:textId="7CA24CE2" w:rsidR="000C420B" w:rsidRPr="00AB6EEE" w:rsidRDefault="000C420B" w:rsidP="009A7A40">
      <w:pPr>
        <w:pStyle w:val="ListParagraph"/>
        <w:numPr>
          <w:ilvl w:val="0"/>
          <w:numId w:val="1"/>
        </w:numPr>
        <w:ind w:firstLine="349"/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sz w:val="26"/>
          <w:szCs w:val="26"/>
          <w:lang w:val="en-US"/>
        </w:rPr>
        <w:t>Căn cứ Căn cứ Luật Doanh nghiệp số 68/2014/QH13;</w:t>
      </w:r>
    </w:p>
    <w:p w14:paraId="796C67DE" w14:textId="2810BED1" w:rsidR="000C420B" w:rsidRPr="00AB6EEE" w:rsidRDefault="000C420B" w:rsidP="009A7A40">
      <w:pPr>
        <w:pStyle w:val="ListParagraph"/>
        <w:numPr>
          <w:ilvl w:val="0"/>
          <w:numId w:val="1"/>
        </w:numPr>
        <w:ind w:firstLine="349"/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sz w:val="26"/>
          <w:szCs w:val="26"/>
          <w:lang w:val="en-US"/>
        </w:rPr>
        <w:t>Căn cứ Điều lệ của Công ty TNHH thương mại Thạnh Phát;</w:t>
      </w:r>
    </w:p>
    <w:p w14:paraId="257529AD" w14:textId="55CFAE48" w:rsidR="000C420B" w:rsidRPr="00AB6EEE" w:rsidRDefault="000C420B" w:rsidP="009A7A40">
      <w:pPr>
        <w:pStyle w:val="ListParagraph"/>
        <w:numPr>
          <w:ilvl w:val="0"/>
          <w:numId w:val="1"/>
        </w:numPr>
        <w:ind w:firstLine="349"/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sz w:val="26"/>
          <w:szCs w:val="26"/>
          <w:lang w:val="en-US"/>
        </w:rPr>
        <w:t>Căn cứ Biên  bản họp Hội đồng thành viên số 0512/2019/HĐTV ngày 05 tháng 12 năm 2019</w:t>
      </w:r>
    </w:p>
    <w:p w14:paraId="1B5DF1C0" w14:textId="40E63A54" w:rsidR="000C420B" w:rsidRPr="00AB6EEE" w:rsidRDefault="000C420B" w:rsidP="009A7A40">
      <w:pPr>
        <w:pStyle w:val="ListParagraph"/>
        <w:numPr>
          <w:ilvl w:val="0"/>
          <w:numId w:val="1"/>
        </w:numPr>
        <w:ind w:firstLine="349"/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sz w:val="26"/>
          <w:szCs w:val="26"/>
          <w:lang w:val="en-US"/>
        </w:rPr>
        <w:t>Xét tình hình kinh doanh của</w:t>
      </w:r>
      <w:r w:rsidR="00311B73"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 Công ty.</w:t>
      </w:r>
    </w:p>
    <w:p w14:paraId="5B5891A4" w14:textId="1C02A597" w:rsidR="00311B73" w:rsidRPr="00E907E6" w:rsidRDefault="00311B73" w:rsidP="00097F49">
      <w:pPr>
        <w:spacing w:before="300" w:after="300"/>
        <w:ind w:firstLine="352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907E6">
        <w:rPr>
          <w:rFonts w:asciiTheme="majorHAnsi" w:hAnsiTheme="majorHAnsi" w:cstheme="majorHAnsi"/>
          <w:b/>
          <w:bCs/>
          <w:sz w:val="26"/>
          <w:szCs w:val="26"/>
          <w:lang w:val="en-US"/>
        </w:rPr>
        <w:t>QUYẾT ĐỊNH:</w:t>
      </w:r>
    </w:p>
    <w:p w14:paraId="2C974C27" w14:textId="37572ED3" w:rsidR="00311B73" w:rsidRPr="00AB6EEE" w:rsidRDefault="00311B73" w:rsidP="009A7A40">
      <w:pPr>
        <w:ind w:firstLine="349"/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Điều 1.</w:t>
      </w:r>
      <w:r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 Thành lập mới Chi nhánh của Công ty như sau:</w:t>
      </w:r>
    </w:p>
    <w:p w14:paraId="26AC20EE" w14:textId="30938A24" w:rsidR="00311B73" w:rsidRPr="00AB6EEE" w:rsidRDefault="00311B73" w:rsidP="009A7A40">
      <w:pPr>
        <w:pStyle w:val="ListParagraph"/>
        <w:numPr>
          <w:ilvl w:val="0"/>
          <w:numId w:val="2"/>
        </w:numPr>
        <w:ind w:firstLine="349"/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sz w:val="26"/>
          <w:szCs w:val="26"/>
          <w:lang w:val="en-US"/>
        </w:rPr>
        <w:t>Tên Chi nhánh: CHI NHÁNH MÊ LINH – CÔNG TY TNHH THƯƠNG MẠI THẠNH PHÁT.</w:t>
      </w:r>
    </w:p>
    <w:p w14:paraId="1F1AB943" w14:textId="272749B1" w:rsidR="00311B73" w:rsidRPr="00AB6EEE" w:rsidRDefault="00311B73" w:rsidP="009A7A40">
      <w:pPr>
        <w:pStyle w:val="ListParagraph"/>
        <w:numPr>
          <w:ilvl w:val="0"/>
          <w:numId w:val="2"/>
        </w:numPr>
        <w:ind w:firstLine="349"/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sz w:val="26"/>
          <w:szCs w:val="26"/>
          <w:lang w:val="en-US"/>
        </w:rPr>
        <w:t>Địa chỉ: Khu ***, xã Đại Thịnh, huyên Mê Linh, TP Hà Nội.</w:t>
      </w:r>
    </w:p>
    <w:p w14:paraId="2942D123" w14:textId="123F4071" w:rsidR="00311B73" w:rsidRPr="00AB6EEE" w:rsidRDefault="00311B73" w:rsidP="009A7A40">
      <w:pPr>
        <w:ind w:firstLine="349"/>
        <w:rPr>
          <w:rFonts w:asciiTheme="majorHAnsi" w:hAnsiTheme="majorHAnsi" w:cstheme="majorHAnsi"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Điều 2.</w:t>
      </w:r>
      <w:r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 Chi nhánh Mê Linh hoạt động từ ngày 02/01/2020</w:t>
      </w:r>
    </w:p>
    <w:p w14:paraId="17A2C6FC" w14:textId="03857EEE" w:rsidR="00CE5331" w:rsidRPr="00B4608E" w:rsidRDefault="00311B73" w:rsidP="00B4608E">
      <w:pPr>
        <w:ind w:firstLine="349"/>
        <w:rPr>
          <w:rFonts w:asciiTheme="majorHAnsi" w:hAnsiTheme="majorHAnsi" w:cstheme="majorHAnsi"/>
          <w:sz w:val="26"/>
          <w:szCs w:val="26"/>
          <w:lang w:val="en-US"/>
        </w:rPr>
        <w:sectPr w:rsidR="00CE5331" w:rsidRPr="00B4608E" w:rsidSect="000723D2">
          <w:type w:val="continuous"/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Điều 3.</w:t>
      </w:r>
      <w:r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 Quyết định có hiệu lực kể từ ngày ký. Các thành viên HĐTV, Giám đốc công ty, Người đứng </w:t>
      </w:r>
      <w:r w:rsidR="00446949"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đầu Chi nhánh Mê Linh, Các phòng  ban và các cá nhân có liên quan chịu trách nhiệm thi hành </w:t>
      </w:r>
      <w:r w:rsidR="00446949" w:rsidRPr="004B38C0">
        <w:rPr>
          <w:rFonts w:asciiTheme="majorHAnsi" w:hAnsiTheme="majorHAnsi" w:cstheme="majorHAnsi"/>
          <w:sz w:val="26"/>
          <w:szCs w:val="26"/>
          <w:lang w:val="en-US"/>
        </w:rPr>
        <w:t>quyết</w:t>
      </w:r>
      <w:r w:rsidR="00446949" w:rsidRPr="00AB6EEE">
        <w:rPr>
          <w:rFonts w:asciiTheme="majorHAnsi" w:hAnsiTheme="majorHAnsi" w:cstheme="majorHAnsi"/>
          <w:sz w:val="26"/>
          <w:szCs w:val="26"/>
          <w:lang w:val="en-US"/>
        </w:rPr>
        <w:t xml:space="preserve"> định này.</w:t>
      </w:r>
    </w:p>
    <w:p w14:paraId="56BF241F" w14:textId="0C9F8D2A" w:rsidR="00446949" w:rsidRPr="008E55ED" w:rsidRDefault="00446949" w:rsidP="00E907E6">
      <w:pPr>
        <w:spacing w:after="0"/>
        <w:rPr>
          <w:rFonts w:asciiTheme="majorHAnsi" w:hAnsiTheme="majorHAnsi" w:cstheme="majorHAnsi"/>
          <w:b/>
          <w:bCs/>
          <w:i/>
          <w:iCs/>
          <w:lang w:val="en-US"/>
        </w:rPr>
      </w:pPr>
      <w:r w:rsidRPr="008E55ED">
        <w:rPr>
          <w:rFonts w:asciiTheme="majorHAnsi" w:hAnsiTheme="majorHAnsi" w:cstheme="majorHAnsi"/>
          <w:b/>
          <w:bCs/>
          <w:i/>
          <w:iCs/>
          <w:lang w:val="en-US"/>
        </w:rPr>
        <w:t>Nơi nhận:</w:t>
      </w:r>
    </w:p>
    <w:p w14:paraId="5FF73B1B" w14:textId="6AFBFCC5" w:rsidR="00446949" w:rsidRPr="008E55ED" w:rsidRDefault="00446949" w:rsidP="004469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8E55ED">
        <w:rPr>
          <w:rFonts w:asciiTheme="majorHAnsi" w:hAnsiTheme="majorHAnsi" w:cstheme="majorHAnsi"/>
          <w:sz w:val="20"/>
          <w:szCs w:val="20"/>
          <w:lang w:val="en-US"/>
        </w:rPr>
        <w:t>Như điều 3;</w:t>
      </w:r>
    </w:p>
    <w:p w14:paraId="00E9F2DE" w14:textId="29A62F92" w:rsidR="00CE5331" w:rsidRPr="008E55ED" w:rsidRDefault="00446949" w:rsidP="00CE533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8E55ED">
        <w:rPr>
          <w:rFonts w:asciiTheme="majorHAnsi" w:hAnsiTheme="majorHAnsi" w:cstheme="majorHAnsi"/>
          <w:sz w:val="20"/>
          <w:szCs w:val="20"/>
          <w:lang w:val="en-US"/>
        </w:rPr>
        <w:t>Lưu: VT, HĐTV (2).</w:t>
      </w:r>
    </w:p>
    <w:p w14:paraId="11CF20F5" w14:textId="71694A16" w:rsidR="00446949" w:rsidRPr="00AB6EEE" w:rsidRDefault="00446949" w:rsidP="00CE5331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B6EEE">
        <w:rPr>
          <w:rFonts w:asciiTheme="majorHAnsi" w:hAnsiTheme="majorHAnsi" w:cstheme="majorHAnsi"/>
          <w:b/>
          <w:bCs/>
          <w:sz w:val="26"/>
          <w:szCs w:val="26"/>
          <w:lang w:val="en-US"/>
        </w:rPr>
        <w:t>T/M HỘI ĐỒNG THÀNH VIÊN CHỦ TỊCH HỘI ĐỒNG THÀNH VIÊN</w:t>
      </w:r>
    </w:p>
    <w:p w14:paraId="412FFF42" w14:textId="77777777" w:rsidR="008E55ED" w:rsidRDefault="008E55ED" w:rsidP="00CE5331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  <w:sectPr w:rsidR="008E55ED" w:rsidSect="008E55ED">
          <w:type w:val="continuous"/>
          <w:pgSz w:w="11906" w:h="16838" w:code="9"/>
          <w:pgMar w:top="1134" w:right="1134" w:bottom="1134" w:left="1701" w:header="709" w:footer="709" w:gutter="0"/>
          <w:cols w:num="2" w:space="709" w:equalWidth="0">
            <w:col w:w="2835" w:space="709"/>
            <w:col w:w="5527"/>
          </w:cols>
          <w:docGrid w:linePitch="360"/>
        </w:sectPr>
      </w:pPr>
    </w:p>
    <w:p w14:paraId="6F4C2816" w14:textId="33A50E4F" w:rsidR="00350CF9" w:rsidRPr="00AB6EEE" w:rsidRDefault="008E55ED" w:rsidP="00977FF5">
      <w:pPr>
        <w:tabs>
          <w:tab w:val="left" w:pos="5245"/>
        </w:tabs>
        <w:spacing w:before="10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>Tô Thanh Quan</w:t>
      </w:r>
    </w:p>
    <w:sectPr w:rsidR="00350CF9" w:rsidRPr="00AB6EEE" w:rsidSect="008E55ED">
      <w:type w:val="continuous"/>
      <w:pgSz w:w="11906" w:h="16838" w:code="9"/>
      <w:pgMar w:top="1134" w:right="1134" w:bottom="1134" w:left="1701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345D"/>
    <w:multiLevelType w:val="hybridMultilevel"/>
    <w:tmpl w:val="04688D04"/>
    <w:lvl w:ilvl="0" w:tplc="E01C4A2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321FAD"/>
    <w:multiLevelType w:val="hybridMultilevel"/>
    <w:tmpl w:val="B0E8522E"/>
    <w:lvl w:ilvl="0" w:tplc="E01C4A2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D26C98"/>
    <w:multiLevelType w:val="hybridMultilevel"/>
    <w:tmpl w:val="C0FE6ED8"/>
    <w:lvl w:ilvl="0" w:tplc="E01C4A2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2411027">
    <w:abstractNumId w:val="1"/>
  </w:num>
  <w:num w:numId="2" w16cid:durableId="1116634485">
    <w:abstractNumId w:val="0"/>
  </w:num>
  <w:num w:numId="3" w16cid:durableId="155726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0B"/>
    <w:rsid w:val="00006085"/>
    <w:rsid w:val="000723D2"/>
    <w:rsid w:val="00097F49"/>
    <w:rsid w:val="000C420B"/>
    <w:rsid w:val="00172BE1"/>
    <w:rsid w:val="001A6807"/>
    <w:rsid w:val="001C3C78"/>
    <w:rsid w:val="00311B73"/>
    <w:rsid w:val="00350CF9"/>
    <w:rsid w:val="00374C1A"/>
    <w:rsid w:val="0042044E"/>
    <w:rsid w:val="00446949"/>
    <w:rsid w:val="004B38C0"/>
    <w:rsid w:val="0055689E"/>
    <w:rsid w:val="0057448A"/>
    <w:rsid w:val="008E55ED"/>
    <w:rsid w:val="00977FF5"/>
    <w:rsid w:val="009A7A40"/>
    <w:rsid w:val="00AB6EEE"/>
    <w:rsid w:val="00AC5DF9"/>
    <w:rsid w:val="00B4608E"/>
    <w:rsid w:val="00CE5331"/>
    <w:rsid w:val="00E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DFFFF"/>
  <w15:chartTrackingRefBased/>
  <w15:docId w15:val="{9946BA34-1FA5-4098-86B0-7EC29F37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89CA-F867-42D9-A5CB-BCE2D088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2022-11-24T00:47:00Z</cp:lastPrinted>
  <dcterms:created xsi:type="dcterms:W3CDTF">2022-11-23T14:37:00Z</dcterms:created>
  <dcterms:modified xsi:type="dcterms:W3CDTF">2022-11-24T00:48:00Z</dcterms:modified>
</cp:coreProperties>
</file>