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2"/>
              </w:rPr>
              <w:t>PHÒNG KHTH - TỔ QLCL</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20"/>
              <w:jc w:val="center"/>
            </w:pPr>
            <w:r>
              <w:rPr>
                <w:rFonts w:ascii="Times New Roman" w:hAnsi="Times New Roman"/>
                <w:b w:val="0"/>
                <w:i w:val="0"/>
                <w:sz w:val="18"/>
              </w:rPr>
              <w:t>───────────</w:t>
            </w:r>
          </w:p>
        </w:tc>
        <w:tc>
          <w:tcPr>
            <w:tcW w:type="dxa" w:w="5180"/>
          </w:tcPr>
          <w:p>
            <w:pPr>
              <w:spacing w:line="276" w:lineRule="auto" w:before="0" w:after="20"/>
              <w:jc w:val="center"/>
            </w:pPr>
            <w:r>
              <w:rPr>
                <w:rFonts w:ascii="Times New Roman" w:hAnsi="Times New Roman"/>
                <w:b w:val="0"/>
                <w:i w:val="0"/>
                <w:sz w:val="18"/>
              </w:rPr>
              <w:t>───────────────────────</w:t>
            </w:r>
          </w:p>
        </w:tc>
      </w:tr>
      <w:tr>
        <w:tc>
          <w:tcPr>
            <w:tcW w:type="dxa" w:w="4160"/>
          </w:tcPr>
          <w:p>
            <w:pPr>
              <w:spacing w:line="276" w:lineRule="auto" w:before="0" w:after="20"/>
              <w:jc w:val="center"/>
            </w:pPr>
            <w:r>
              <w:rPr>
                <w:rFonts w:ascii="Times New Roman" w:hAnsi="Times New Roman"/>
                <w:b w:val="0"/>
                <w:i w:val="0"/>
                <w:sz w:val="21"/>
              </w:rPr>
              <w:t>Số: 16/TB-QLCL-KAIZEN</w:t>
            </w:r>
          </w:p>
        </w:tc>
        <w:tc>
          <w:tcPr>
            <w:tcW w:type="dxa" w:w="5180"/>
          </w:tcPr>
          <w:p>
            <w:pPr>
              <w:spacing w:line="276" w:lineRule="auto" w:before="0" w:after="20"/>
              <w:jc w:val="center"/>
            </w:pPr>
            <w:r>
              <w:rPr>
                <w:rFonts w:ascii="Times New Roman" w:hAnsi="Times New Roman"/>
                <w:b w:val="0"/>
                <w:i/>
                <w:sz w:val="23"/>
              </w:rPr>
              <w:t>Chí Đám, ngày 05 tháng 09 năm 2026</w:t>
            </w:r>
          </w:p>
        </w:tc>
      </w:tr>
    </w:tbl>
    <w:p>
      <w:pPr>
        <w:spacing w:before="160" w:after="0"/>
      </w:pPr>
    </w:p>
    <w:p>
      <w:pPr>
        <w:spacing w:before="80" w:after="60"/>
        <w:jc w:val="center"/>
      </w:pPr>
      <w:r>
        <w:rPr>
          <w:b/>
          <w:sz w:val="28"/>
        </w:rPr>
        <w:t>THÔNG BÁO KẾT QUẢ THẨM ĐỊNH SƠ BỘ VÀ PHÊ DUYỆT ĐỀ CƯƠNG</w:t>
      </w:r>
    </w:p>
    <w:p>
      <w:pPr>
        <w:spacing w:before="0" w:after="200"/>
        <w:jc w:val="center"/>
      </w:pPr>
      <w:r>
        <w:rPr>
          <w:b/>
          <w:sz w:val="26"/>
        </w:rPr>
        <w:t>V/v: Phê duyệt Triển khai Thực nghiệm Đề án Cải tiến: “Sáng chế giá treo bình oxy đứng đa năng trên xe cáng cấp cứu nhằm nâng cao an toàn vận chuyển và kiểm soát lưu lượng khí thở tại Trung tâm Cấp cứu 115”</w:t>
      </w:r>
    </w:p>
    <w:p>
      <w:pPr>
        <w:spacing w:before="40" w:after="80"/>
        <w:ind w:firstLine="720"/>
        <w:jc w:val="left"/>
      </w:pPr>
      <w:r>
        <w:rPr>
          <w:b/>
          <w:i/>
          <w:sz w:val="27"/>
        </w:rPr>
        <w:t>Kính gửi: Lãnh đạo TRUNG TÂM CẤP CỨU 115 và Nhóm tác giả ĐD. Đỗ Sơn Bắc.</w:t>
      </w:r>
    </w:p>
    <w:p>
      <w:pPr>
        <w:spacing w:before="40" w:after="60"/>
        <w:ind w:firstLine="720"/>
        <w:jc w:val="both"/>
      </w:pPr>
      <w:r>
        <w:rPr>
          <w:sz w:val="27"/>
        </w:rPr>
        <w:t>Căn cứ Kế hoạch tổ chức Hội thi Đề án Cải tiến Chất lượng Bệnh viện kỷ niệm 16 năm thành lập Bệnh viện Đa khoa Hùng Vương (2010 - 2026);</w:t>
      </w:r>
    </w:p>
    <w:p>
      <w:pPr>
        <w:spacing w:before="40" w:after="60"/>
        <w:ind w:firstLine="720"/>
        <w:jc w:val="both"/>
      </w:pPr>
      <w:r>
        <w:rPr>
          <w:sz w:val="27"/>
        </w:rPr>
        <w:t>Căn cứ Phiếu đăng ký Đề án cải tiến của TRUNG TÂM CẤP CỨU 115 về việc “Sáng chế giá treo bình oxy đứng đa năng trên xe cáng cấp cứu nhằm nâng cao an toàn vận chuyển và kiểm soát lưu lượng khí thở tại Trung tâm Cấp cứu 115”;</w:t>
      </w:r>
    </w:p>
    <w:p>
      <w:pPr>
        <w:spacing w:before="40" w:after="60"/>
        <w:ind w:firstLine="720"/>
        <w:jc w:val="both"/>
      </w:pPr>
      <w:r>
        <w:rPr>
          <w:sz w:val="27"/>
        </w:rPr>
        <w:t>Tổ Quản lý Chất lượng (thuộc Phòng Kế hoạch Tổng hợp) đã tiến hành thẩm định chuyên môn về tính cấp thiết, tính an toàn lâm sàng và hiệu quả kỹ thuật của đề án. Kết quả cụ thể như sau:</w:t>
      </w:r>
    </w:p>
    <w:p>
      <w:pPr>
        <w:spacing w:before="160" w:after="80"/>
      </w:pPr>
      <w:r>
        <w:rPr>
          <w:b/>
          <w:sz w:val="27"/>
        </w:rPr>
        <w:t>I. KẾT QUẢ CHẤM ĐIỂM THẨM ĐỊNH CHUYÊN MÔN (THANG ĐIỂM 100):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640"/>
            <w:shd w:fill="E2E8F0"/>
          </w:tcPr>
          <w:p>
            <w:pPr>
              <w:spacing w:before="80" w:after="80"/>
              <w:jc w:val="center"/>
            </w:pPr>
            <w:r>
              <w:rPr>
                <w:b/>
                <w:sz w:val="26"/>
              </w:rPr>
              <w:t>STT</w:t>
            </w:r>
          </w:p>
        </w:tc>
        <w:tc>
          <w:tcPr>
            <w:tcW w:type="dxa" w:w="3700"/>
            <w:shd w:fill="E2E8F0"/>
          </w:tcPr>
          <w:p>
            <w:pPr>
              <w:spacing w:before="80" w:after="80"/>
              <w:jc w:val="center"/>
            </w:pPr>
            <w:r>
              <w:rPr>
                <w:b/>
                <w:sz w:val="26"/>
              </w:rPr>
              <w:t>Tiêu chí đánh giá (QĐ 2351/QĐ-BVHV)</w:t>
            </w:r>
          </w:p>
        </w:tc>
        <w:tc>
          <w:tcPr>
            <w:tcW w:type="dxa" w:w="1700"/>
            <w:shd w:fill="E2E8F0"/>
          </w:tcPr>
          <w:p>
            <w:pPr>
              <w:spacing w:before="80" w:after="80"/>
              <w:jc w:val="center"/>
            </w:pPr>
            <w:r>
              <w:rPr>
                <w:b/>
                <w:sz w:val="26"/>
              </w:rPr>
              <w:t>Điểm đạt / Tối đa</w:t>
            </w:r>
          </w:p>
        </w:tc>
        <w:tc>
          <w:tcPr>
            <w:tcW w:type="dxa" w:w="3300"/>
            <w:shd w:fill="E2E8F0"/>
          </w:tcPr>
          <w:p>
            <w:pPr>
              <w:spacing w:before="80" w:after="80"/>
              <w:jc w:val="center"/>
            </w:pPr>
            <w:r>
              <w:rPr>
                <w:b/>
                <w:sz w:val="26"/>
              </w:rPr>
              <w:t>Nhận xét của Tổ thẩm định</w:t>
            </w:r>
          </w:p>
        </w:tc>
      </w:tr>
      <w:tr>
        <w:tc>
          <w:tcPr>
            <w:tcW w:type="dxa" w:w="640"/>
          </w:tcPr>
          <w:p>
            <w:pPr>
              <w:spacing w:before="80" w:after="80" w:line="276" w:lineRule="auto"/>
              <w:jc w:val="center"/>
            </w:pPr>
            <w:r>
              <w:rPr>
                <w:b/>
                <w:sz w:val="26"/>
              </w:rPr>
              <w:t>1</w:t>
            </w:r>
          </w:p>
        </w:tc>
        <w:tc>
          <w:tcPr>
            <w:tcW w:type="dxa" w:w="3700"/>
          </w:tcPr>
          <w:p>
            <w:pPr>
              <w:spacing w:before="80" w:after="80" w:line="276" w:lineRule="auto"/>
              <w:jc w:val="both"/>
            </w:pPr>
            <w:r>
              <w:rPr>
                <w:sz w:val="26"/>
              </w:rPr>
              <w:t>Tính cấp thiết và thực trạng vấn đề tại khoa/phòng</w:t>
            </w:r>
          </w:p>
        </w:tc>
        <w:tc>
          <w:tcPr>
            <w:tcW w:type="dxa" w:w="1700"/>
          </w:tcPr>
          <w:p>
            <w:pPr>
              <w:spacing w:before="80" w:after="80" w:line="276" w:lineRule="auto"/>
              <w:jc w:val="center"/>
            </w:pPr>
            <w:r>
              <w:rPr>
                <w:b/>
                <w:sz w:val="26"/>
              </w:rPr>
              <w:t>16 / 20</w:t>
            </w:r>
          </w:p>
        </w:tc>
        <w:tc>
          <w:tcPr>
            <w:tcW w:type="dxa" w:w="3300"/>
          </w:tcPr>
          <w:p>
            <w:pPr>
              <w:spacing w:before="80" w:after="80" w:line="276" w:lineRule="auto"/>
              <w:jc w:val="both"/>
            </w:pPr>
            <w:r>
              <w:rPr>
                <w:sz w:val="26"/>
              </w:rPr>
              <w:t>Sáng chế giải quyết trực tiếp nguy cơ cháy nổ và tai biến y khoa khi vận chuyển bệnh nhân nguy kịch.</w:t>
            </w:r>
          </w:p>
        </w:tc>
      </w:tr>
      <w:tr>
        <w:tc>
          <w:tcPr>
            <w:tcW w:type="dxa" w:w="640"/>
          </w:tcPr>
          <w:p>
            <w:pPr>
              <w:spacing w:before="80" w:after="80" w:line="276" w:lineRule="auto"/>
              <w:jc w:val="center"/>
            </w:pPr>
            <w:r>
              <w:rPr>
                <w:b/>
                <w:sz w:val="26"/>
              </w:rPr>
              <w:t>2</w:t>
            </w:r>
          </w:p>
        </w:tc>
        <w:tc>
          <w:tcPr>
            <w:tcW w:type="dxa" w:w="3700"/>
          </w:tcPr>
          <w:p>
            <w:pPr>
              <w:spacing w:before="80" w:after="80" w:line="276" w:lineRule="auto"/>
              <w:jc w:val="both"/>
            </w:pPr>
            <w:r>
              <w:rPr>
                <w:sz w:val="26"/>
              </w:rPr>
              <w:t>Tính khả thi và giải pháp cải tiến</w:t>
            </w:r>
          </w:p>
        </w:tc>
        <w:tc>
          <w:tcPr>
            <w:tcW w:type="dxa" w:w="1700"/>
          </w:tcPr>
          <w:p>
            <w:pPr>
              <w:spacing w:before="80" w:after="80" w:line="276" w:lineRule="auto"/>
              <w:jc w:val="center"/>
            </w:pPr>
            <w:r>
              <w:rPr>
                <w:b/>
                <w:sz w:val="26"/>
              </w:rPr>
              <w:t>20 / 25</w:t>
            </w:r>
          </w:p>
        </w:tc>
        <w:tc>
          <w:tcPr>
            <w:tcW w:type="dxa" w:w="3300"/>
          </w:tcPr>
          <w:p>
            <w:pPr>
              <w:spacing w:before="80" w:after="80" w:line="276" w:lineRule="auto"/>
              <w:jc w:val="both"/>
            </w:pPr>
            <w:r>
              <w:rPr>
                <w:sz w:val="26"/>
              </w:rPr>
              <w:t>Thiết kế cơ khí khả thi cao, chi phí thấp, gia công nhanh chóng tại xưởng cơ khí bệnh viện.</w:t>
            </w:r>
          </w:p>
        </w:tc>
      </w:tr>
      <w:tr>
        <w:tc>
          <w:tcPr>
            <w:tcW w:type="dxa" w:w="640"/>
          </w:tcPr>
          <w:p>
            <w:pPr>
              <w:spacing w:before="80" w:after="80" w:line="276" w:lineRule="auto"/>
              <w:jc w:val="center"/>
            </w:pPr>
            <w:r>
              <w:rPr>
                <w:b/>
                <w:sz w:val="26"/>
              </w:rPr>
              <w:t>3</w:t>
            </w:r>
          </w:p>
        </w:tc>
        <w:tc>
          <w:tcPr>
            <w:tcW w:type="dxa" w:w="3700"/>
          </w:tcPr>
          <w:p>
            <w:pPr>
              <w:spacing w:before="80" w:after="80" w:line="276" w:lineRule="auto"/>
              <w:jc w:val="both"/>
            </w:pPr>
            <w:r>
              <w:rPr>
                <w:sz w:val="26"/>
              </w:rPr>
              <w:t>Hiệu quả đo lường và khả năng cải thiện</w:t>
            </w:r>
          </w:p>
        </w:tc>
        <w:tc>
          <w:tcPr>
            <w:tcW w:type="dxa" w:w="1700"/>
          </w:tcPr>
          <w:p>
            <w:pPr>
              <w:spacing w:before="80" w:after="80" w:line="276" w:lineRule="auto"/>
              <w:jc w:val="center"/>
            </w:pPr>
            <w:r>
              <w:rPr>
                <w:b/>
                <w:sz w:val="26"/>
              </w:rPr>
              <w:t>20 / 20</w:t>
            </w:r>
          </w:p>
        </w:tc>
        <w:tc>
          <w:tcPr>
            <w:tcW w:type="dxa" w:w="3300"/>
          </w:tcPr>
          <w:p>
            <w:pPr>
              <w:spacing w:before="80" w:after="80" w:line="276" w:lineRule="auto"/>
              <w:jc w:val="both"/>
            </w:pPr>
            <w:r>
              <w:rPr>
                <w:sz w:val="26"/>
              </w:rPr>
              <w:t>Rút ngắn thời gian thao tác từ 3 phút xuống 15 giây, kiểm soát 100% an toàn lưu lượng oxy.</w:t>
            </w:r>
          </w:p>
        </w:tc>
      </w:tr>
      <w:tr>
        <w:tc>
          <w:tcPr>
            <w:tcW w:type="dxa" w:w="640"/>
          </w:tcPr>
          <w:p>
            <w:pPr>
              <w:spacing w:before="80" w:after="80" w:line="276" w:lineRule="auto"/>
              <w:jc w:val="center"/>
            </w:pPr>
            <w:r>
              <w:rPr>
                <w:b/>
                <w:sz w:val="26"/>
              </w:rPr>
              <w:t>4</w:t>
            </w:r>
          </w:p>
        </w:tc>
        <w:tc>
          <w:tcPr>
            <w:tcW w:type="dxa" w:w="3700"/>
          </w:tcPr>
          <w:p>
            <w:pPr>
              <w:spacing w:before="80" w:after="80" w:line="276" w:lineRule="auto"/>
              <w:jc w:val="both"/>
            </w:pPr>
            <w:r>
              <w:rPr>
                <w:sz w:val="26"/>
              </w:rPr>
              <w:t>Khả năng chuẩn hóa và nhân rộng quy trình</w:t>
            </w:r>
          </w:p>
        </w:tc>
        <w:tc>
          <w:tcPr>
            <w:tcW w:type="dxa" w:w="1700"/>
          </w:tcPr>
          <w:p>
            <w:pPr>
              <w:spacing w:before="80" w:after="80" w:line="276" w:lineRule="auto"/>
              <w:jc w:val="center"/>
            </w:pPr>
            <w:r>
              <w:rPr>
                <w:b/>
                <w:sz w:val="26"/>
              </w:rPr>
              <w:t>16 / 15</w:t>
            </w:r>
          </w:p>
        </w:tc>
        <w:tc>
          <w:tcPr>
            <w:tcW w:type="dxa" w:w="3300"/>
          </w:tcPr>
          <w:p>
            <w:pPr>
              <w:spacing w:before="80" w:after="80" w:line="276" w:lineRule="auto"/>
              <w:jc w:val="both"/>
            </w:pPr>
            <w:r>
              <w:rPr>
                <w:sz w:val="26"/>
              </w:rPr>
              <w:t>Có thể trang bị cho toàn bộ xe cứu thương và xe cáng nội viện toàn hệ thống Hùng Vương.</w:t>
            </w:r>
          </w:p>
        </w:tc>
      </w:tr>
      <w:tr>
        <w:tc>
          <w:tcPr>
            <w:tcW w:type="dxa" w:w="640"/>
          </w:tcPr>
          <w:p>
            <w:pPr>
              <w:spacing w:before="80" w:after="80" w:line="276" w:lineRule="auto"/>
              <w:jc w:val="center"/>
            </w:pPr>
            <w:r>
              <w:rPr>
                <w:b/>
                <w:sz w:val="26"/>
              </w:rPr>
              <w:t>5</w:t>
            </w:r>
          </w:p>
        </w:tc>
        <w:tc>
          <w:tcPr>
            <w:tcW w:type="dxa" w:w="3700"/>
          </w:tcPr>
          <w:p>
            <w:pPr>
              <w:spacing w:before="80" w:after="80" w:line="276" w:lineRule="auto"/>
              <w:jc w:val="both"/>
            </w:pPr>
            <w:r>
              <w:rPr>
                <w:sz w:val="26"/>
              </w:rPr>
              <w:t>Tính sáng tạo và an toàn người bệnh</w:t>
            </w:r>
          </w:p>
        </w:tc>
        <w:tc>
          <w:tcPr>
            <w:tcW w:type="dxa" w:w="1700"/>
          </w:tcPr>
          <w:p>
            <w:pPr>
              <w:spacing w:before="80" w:after="80" w:line="276" w:lineRule="auto"/>
              <w:jc w:val="center"/>
            </w:pPr>
            <w:r>
              <w:rPr>
                <w:b/>
                <w:sz w:val="26"/>
              </w:rPr>
              <w:t>16 / 20</w:t>
            </w:r>
          </w:p>
        </w:tc>
        <w:tc>
          <w:tcPr>
            <w:tcW w:type="dxa" w:w="3300"/>
          </w:tcPr>
          <w:p>
            <w:pPr>
              <w:spacing w:before="80" w:after="80" w:line="276" w:lineRule="auto"/>
              <w:jc w:val="both"/>
            </w:pPr>
            <w:r>
              <w:rPr>
                <w:sz w:val="26"/>
              </w:rPr>
              <w:t>Sáng kiến kỹ thuật độc đáo, xuất phát từ thực tiễn hiện trường của nhân viên y tế.</w:t>
            </w:r>
          </w:p>
        </w:tc>
      </w:tr>
      <w:tr>
        <w:tc>
          <w:tcPr>
            <w:tcW w:type="dxa" w:w="640"/>
            <w:shd w:fill="CBD5E1"/>
          </w:tcPr>
          <w:p>
            <w:r/>
          </w:p>
        </w:tc>
        <w:tc>
          <w:tcPr>
            <w:tcW w:type="dxa" w:w="3700"/>
            <w:shd w:fill="CBD5E1"/>
          </w:tcPr>
          <w:p>
            <w:pPr>
              <w:spacing w:before="80" w:after="80"/>
            </w:pPr>
            <w:r>
              <w:rPr>
                <w:b/>
                <w:sz w:val="26"/>
              </w:rPr>
              <w:t>TỔNG ĐIỂM ĐÁNH GIÁ THẨM ĐỊNH</w:t>
            </w:r>
          </w:p>
        </w:tc>
        <w:tc>
          <w:tcPr>
            <w:tcW w:type="dxa" w:w="1700"/>
            <w:shd w:fill="CBD5E1"/>
          </w:tcPr>
          <w:p>
            <w:pPr>
              <w:spacing w:before="80" w:after="80"/>
              <w:jc w:val="center"/>
            </w:pPr>
            <w:r>
              <w:rPr>
                <w:b/>
                <w:sz w:val="27"/>
              </w:rPr>
              <w:t>88 / 100</w:t>
            </w:r>
          </w:p>
        </w:tc>
        <w:tc>
          <w:tcPr>
            <w:tcW w:type="dxa" w:w="3300"/>
            <w:shd w:fill="CBD5E1"/>
          </w:tcPr>
          <w:p>
            <w:pPr>
              <w:spacing w:before="80" w:after="80"/>
            </w:pPr>
            <w:r>
              <w:rPr>
                <w:b/>
                <w:sz w:val="25"/>
              </w:rPr>
              <w:t>XẾP LOẠI: ĐẠT LOẠI A (XUẤT SẮC) - PHÊ DUYỆT CẤP KINH PHÍ MẪU THỬ</w:t>
            </w:r>
          </w:p>
        </w:tc>
      </w:tr>
    </w:tbl>
    <w:p>
      <w:pPr>
        <w:spacing w:before="200" w:after="80"/>
      </w:pPr>
      <w:r>
        <w:rPr>
          <w:b/>
          <w:sz w:val="27"/>
        </w:rPr>
        <w:t>II. KẾT LUẬN VÀ HƯỚNG DẪN TRIỂN KHAI THỰC NGHIỆM:</w:t>
      </w:r>
    </w:p>
    <w:p>
      <w:pPr>
        <w:spacing w:before="40" w:after="60"/>
        <w:ind w:firstLine="720"/>
        <w:jc w:val="both"/>
      </w:pPr>
      <w:r>
        <w:rPr>
          <w:sz w:val="27"/>
        </w:rPr>
        <w:t>1. Phê duyệt Đề cương A3 cho nhóm tác giả TRUNG TÂM CẤP CỨU 115 để chính thức triển khai thử nghiệm thực tế đề án theo đúng kế hoạch cam kết.</w:t>
      </w:r>
    </w:p>
    <w:p>
      <w:pPr>
        <w:spacing w:before="40" w:after="60"/>
        <w:ind w:firstLine="720"/>
        <w:jc w:val="both"/>
      </w:pPr>
      <w:r>
        <w:rPr>
          <w:sz w:val="27"/>
        </w:rPr>
        <w:t>2. Đề nghị nhóm tác giả tuân thủ quy trình chuyên môn, theo dõi sát sao các chỉ số an toàn người bệnh và ghi nhận đầy đủ số liệu đo lường thực tế.</w:t>
      </w:r>
    </w:p>
    <w:p>
      <w:pPr>
        <w:spacing w:before="40" w:after="60"/>
        <w:ind w:firstLine="720"/>
        <w:jc w:val="both"/>
      </w:pPr>
      <w:r>
        <w:rPr>
          <w:sz w:val="27"/>
        </w:rPr>
        <w:t>3. Tổ QLCL sẽ phối hợp kiểm chuẩn và hỗ trợ đơn vị hoàn thiện Báo cáo Nghiệm thu A3 trước Vòng Chung kết Hội thi Kaizen 16 Năm.</w:t>
      </w:r>
    </w:p>
    <w:p>
      <w:pPr>
        <w:spacing w:before="200" w:after="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420"/>
          </w:tcPr>
          <w:p>
            <w:pPr>
              <w:spacing w:line="276" w:lineRule="auto" w:before="0" w:after="40"/>
              <w:jc w:val="left"/>
            </w:pPr>
            <w:r/>
            <w:r>
              <w:rPr>
                <w:b/>
                <w:i/>
                <w:sz w:val="22"/>
              </w:rPr>
              <w:t>Nơi nhận:</w:t>
            </w:r>
          </w:p>
          <w:p>
            <w:pPr>
              <w:spacing w:line="276" w:lineRule="auto" w:before="0" w:after="20"/>
              <w:jc w:val="left"/>
            </w:pPr>
            <w:r>
              <w:rPr>
                <w:sz w:val="21"/>
              </w:rPr>
              <w:t>- Ban Giám đốc (để b/c);</w:t>
            </w:r>
          </w:p>
          <w:p>
            <w:pPr>
              <w:spacing w:line="276" w:lineRule="auto" w:before="0" w:after="20"/>
              <w:jc w:val="left"/>
            </w:pPr>
            <w:r>
              <w:rPr>
                <w:sz w:val="21"/>
              </w:rPr>
              <w:t>- Lãnh đạo TRUNG TÂM CẤP CỨU 115 (để t/h);</w:t>
            </w:r>
          </w:p>
          <w:p>
            <w:pPr>
              <w:spacing w:line="276" w:lineRule="auto" w:before="0" w:after="20"/>
              <w:jc w:val="left"/>
            </w:pPr>
            <w:r>
              <w:rPr>
                <w:sz w:val="21"/>
              </w:rPr>
              <w:t>- Nhóm tác giả ĐD. Đỗ Sơn Bắc;</w:t>
            </w:r>
          </w:p>
          <w:p>
            <w:pPr>
              <w:spacing w:line="276" w:lineRule="auto" w:before="0" w:after="20"/>
              <w:jc w:val="left"/>
            </w:pPr>
            <w:r>
              <w:rPr>
                <w:sz w:val="21"/>
              </w:rPr>
              <w:t>- Lưu: VT, KHTH (QLCL).</w:t>
            </w:r>
          </w:p>
        </w:tc>
        <w:tc>
          <w:tcPr>
            <w:tcW w:type="dxa" w:w="4920"/>
          </w:tcPr>
          <w:p>
            <w:pPr>
              <w:spacing w:line="276" w:lineRule="auto" w:before="0" w:after="0"/>
              <w:jc w:val="center"/>
            </w:pPr>
            <w:r>
              <w:rPr>
                <w:b/>
                <w:sz w:val="26"/>
              </w:rPr>
              <w:t>TỔ TRƯỞNG TỔ QLCL</w:t>
              <w:br/>
            </w:r>
            <w:r>
              <w:rPr>
                <w:i/>
                <w:sz w:val="23"/>
              </w:rPr>
              <w:t>(Đã ký)</w:t>
              <w:br/>
              <w:br/>
              <w:br/>
              <w:br/>
              <w:br/>
            </w:r>
            <w:r>
              <w:rPr>
                <w:b/>
                <w:sz w:val="27"/>
              </w:rPr>
              <w:t>Trần Đình Vũ</w:t>
            </w:r>
          </w:p>
        </w:tc>
      </w:tr>
    </w:tbl>
    <w:sectPr w:rsidR="00FC693F" w:rsidRPr="0006063C" w:rsidSect="00034616">
      <w:pgSz w:w="11909" w:h="16834"/>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60" w:line="276" w:lineRule="auto"/>
      <w:jc w:val="both"/>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