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252"/>
        <w:gridCol w:w="5102"/>
      </w:tblGrid>
      <w:tr>
        <w:tc>
          <w:tcPr>
            <w:tcW w:type="dxa" w:w="4677"/>
          </w:tcPr>
          <w:p>
            <w:pPr>
              <w:jc w:val="center"/>
            </w:pPr>
            <w:r>
              <w:rPr>
                <w:rFonts w:ascii="Times New Roman" w:hAnsi="Times New Roman"/>
                <w:b/>
                <w:sz w:val="21"/>
              </w:rPr>
              <w:t>BỆNH VIỆN ĐA KHOA HÙNG VƯƠNG</w:t>
              <w:br/>
            </w:r>
            <w:r>
              <w:rPr>
                <w:rFonts w:ascii="Times New Roman" w:hAnsi="Times New Roman"/>
                <w:b/>
                <w:sz w:val="21"/>
              </w:rPr>
              <w:t>BAN TỔ CHỨC HỘI THI KAIZEN 16 NĂM</w:t>
              <w:br/>
            </w:r>
            <w:r>
              <w:rPr>
                <w:rFonts w:ascii="Times New Roman" w:hAnsi="Times New Roman"/>
                <w:color w:val="505050"/>
                <w:sz w:val="18"/>
              </w:rPr>
              <w:t>──────────────────</w:t>
              <w:br/>
            </w:r>
            <w:r>
              <w:rPr>
                <w:rFonts w:ascii="Times New Roman" w:hAnsi="Times New Roman"/>
                <w:b/>
                <w:sz w:val="22"/>
              </w:rPr>
              <w:t>Mã đề án: KZ16-TIMMACH-01</w:t>
            </w:r>
          </w:p>
        </w:tc>
        <w:tc>
          <w:tcPr>
            <w:tcW w:type="dxa" w:w="4677"/>
          </w:tcPr>
          <w:p>
            <w:pPr>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color w:val="505050"/>
                <w:sz w:val="18"/>
              </w:rPr>
              <w:t>───────────────────────</w:t>
              <w:br/>
            </w:r>
            <w:r>
              <w:rPr>
                <w:rFonts w:ascii="Times New Roman" w:hAnsi="Times New Roman"/>
                <w:i/>
                <w:sz w:val="24"/>
              </w:rPr>
              <w:t>Phú Thọ, ngày 01 tháng 09 năm 2026</w:t>
            </w:r>
          </w:p>
        </w:tc>
      </w:tr>
    </w:tbl>
    <w:p>
      <w:pPr>
        <w:spacing w:before="240" w:after="40"/>
        <w:jc w:val="center"/>
      </w:pPr>
      <w:r>
        <w:rPr>
          <w:rFonts w:ascii="Times New Roman" w:hAnsi="Times New Roman"/>
          <w:b/>
          <w:sz w:val="28"/>
        </w:rPr>
        <w:t>PHIẾU ĐĂNG KÝ THAM GIA HỘI THI ĐỀ ÁN CẢI TIẾN CHẤT LƯỢNG (KAIZEN)</w:t>
      </w:r>
    </w:p>
    <w:p>
      <w:pPr>
        <w:spacing w:after="240"/>
        <w:jc w:val="center"/>
      </w:pPr>
      <w:r>
        <w:rPr>
          <w:rFonts w:ascii="Times New Roman" w:hAnsi="Times New Roman"/>
          <w:i/>
          <w:sz w:val="24"/>
        </w:rPr>
        <w:t>(Kỷ niệm 16 năm ngày thành lập Bệnh viện Đa khoa Hùng Vương 2010 - 2026)</w:t>
      </w:r>
    </w:p>
    <w:p>
      <w:pPr>
        <w:spacing w:before="80" w:after="40"/>
      </w:pPr>
      <w:r>
        <w:rPr>
          <w:rFonts w:ascii="Times New Roman" w:hAnsi="Times New Roman"/>
          <w:b/>
          <w:sz w:val="26"/>
        </w:rPr>
        <w:t>1. Tên Đề án:</w:t>
      </w:r>
    </w:p>
    <w:p>
      <w:pPr>
        <w:spacing w:after="40" w:line="288" w:lineRule="auto"/>
        <w:ind w:firstLine="720"/>
        <w:jc w:val="both"/>
      </w:pPr>
      <w:r>
        <w:rPr>
          <w:rFonts w:ascii="Times New Roman" w:hAnsi="Times New Roman"/>
          <w:sz w:val="26"/>
        </w:rPr>
        <w:t>Cải tiến quy trình chuẩn bị thuốc và vật tư can thiệp cấp cứu STEMI bằng mô hình “STEMI Emergency Box” tại Phòng Can thiệp Tim mạch.</w:t>
      </w:r>
    </w:p>
    <w:p>
      <w:pPr>
        <w:spacing w:before="80" w:after="40"/>
      </w:pPr>
      <w:r>
        <w:rPr>
          <w:rFonts w:ascii="Times New Roman" w:hAnsi="Times New Roman"/>
          <w:b/>
          <w:sz w:val="26"/>
        </w:rPr>
        <w:t>2. Phân nhánh Đề án tham gia (Đánh dấu X vào 01 nhánh phù hợp):</w:t>
      </w:r>
    </w:p>
    <w:p>
      <w:pPr>
        <w:spacing w:after="40" w:line="288" w:lineRule="auto"/>
        <w:ind w:firstLine="720"/>
        <w:jc w:val="both"/>
      </w:pPr>
      <w:r>
        <w:rPr>
          <w:rFonts w:ascii="Times New Roman" w:hAnsi="Times New Roman"/>
          <w:sz w:val="26"/>
        </w:rPr>
        <w:t>[ X ] Nhánh A: Cải tiến nội bộ Khoa/Phòng</w:t>
      </w:r>
    </w:p>
    <w:p>
      <w:pPr>
        <w:spacing w:after="40" w:line="288" w:lineRule="auto"/>
        <w:ind w:firstLine="720"/>
        <w:jc w:val="both"/>
      </w:pPr>
      <w:r>
        <w:rPr>
          <w:rFonts w:ascii="Times New Roman" w:hAnsi="Times New Roman"/>
          <w:sz w:val="26"/>
        </w:rPr>
        <w:t>[   ] Nhánh B: Cải tiến Liên khoa / Điểm chạm phối hợp (Đề án Liên danh)</w:t>
      </w:r>
    </w:p>
    <w:p>
      <w:pPr>
        <w:spacing w:before="80" w:after="40"/>
      </w:pPr>
      <w:r>
        <w:rPr>
          <w:rFonts w:ascii="Times New Roman" w:hAnsi="Times New Roman"/>
          <w:b/>
          <w:sz w:val="26"/>
        </w:rPr>
        <w:t>3. Đơn vị thực hiện:</w:t>
      </w:r>
    </w:p>
    <w:p>
      <w:pPr>
        <w:spacing w:after="40" w:line="288" w:lineRule="auto"/>
        <w:ind w:firstLine="720"/>
        <w:jc w:val="both"/>
      </w:pPr>
      <w:r>
        <w:rPr>
          <w:rFonts w:ascii="Times New Roman" w:hAnsi="Times New Roman"/>
          <w:sz w:val="26"/>
        </w:rPr>
        <w:t>• Đơn vị chủ trì: Khoa Tim Mạch</w:t>
      </w:r>
    </w:p>
    <w:p>
      <w:pPr>
        <w:spacing w:after="40" w:line="288" w:lineRule="auto"/>
        <w:ind w:firstLine="720"/>
        <w:jc w:val="both"/>
      </w:pPr>
      <w:r>
        <w:rPr>
          <w:rFonts w:ascii="Times New Roman" w:hAnsi="Times New Roman"/>
          <w:sz w:val="26"/>
        </w:rPr>
        <w:t>• Đơn vị phối hợp: Tổ Dược Lâm sàng, Tổ Quản lý Chất lượng</w:t>
      </w:r>
    </w:p>
    <w:p>
      <w:pPr>
        <w:spacing w:before="80" w:after="40"/>
      </w:pPr>
      <w:r>
        <w:rPr>
          <w:rFonts w:ascii="Times New Roman" w:hAnsi="Times New Roman"/>
          <w:b/>
          <w:sz w:val="26"/>
        </w:rPr>
        <w:t>4. Nhóm tác giả thực hiện (Tối đa 05 thành viên chính):</w:t>
      </w:r>
    </w:p>
    <w:p>
      <w:pPr>
        <w:spacing w:after="40" w:line="288" w:lineRule="auto"/>
        <w:ind w:firstLine="720"/>
        <w:jc w:val="both"/>
      </w:pPr>
      <w:r>
        <w:rPr>
          <w:rFonts w:ascii="Times New Roman" w:hAnsi="Times New Roman"/>
          <w:sz w:val="26"/>
        </w:rPr>
        <w:t>1. Trưởng nhóm: Nguyễn Duy Hùng — Chức danh/Chức vụ: Điều dưỡng trưởng Khoa Tim Mạch</w:t>
      </w:r>
    </w:p>
    <w:p>
      <w:pPr>
        <w:spacing w:after="40" w:line="288" w:lineRule="auto"/>
        <w:ind w:firstLine="720"/>
        <w:jc w:val="both"/>
      </w:pPr>
      <w:r>
        <w:rPr>
          <w:rFonts w:ascii="Times New Roman" w:hAnsi="Times New Roman"/>
          <w:sz w:val="26"/>
        </w:rPr>
        <w:t>2. Thư ký đề án: Nguyễn Việt Hưng — Chức danh/Chức vụ: Điều dưỡng viên</w:t>
      </w:r>
    </w:p>
    <w:p>
      <w:pPr>
        <w:spacing w:after="40" w:line="288" w:lineRule="auto"/>
        <w:ind w:firstLine="720"/>
        <w:jc w:val="both"/>
      </w:pPr>
      <w:r>
        <w:rPr>
          <w:rFonts w:ascii="Times New Roman" w:hAnsi="Times New Roman"/>
          <w:sz w:val="26"/>
        </w:rPr>
        <w:t>3. Thành viên: Nguyễn Mạnh Hùng — Chức danh/Chức vụ: Điều dưỡng viên</w:t>
      </w:r>
    </w:p>
    <w:p>
      <w:pPr>
        <w:spacing w:after="40" w:line="288" w:lineRule="auto"/>
        <w:ind w:firstLine="720"/>
        <w:jc w:val="both"/>
      </w:pPr>
      <w:r>
        <w:rPr>
          <w:rFonts w:ascii="Times New Roman" w:hAnsi="Times New Roman"/>
          <w:sz w:val="26"/>
        </w:rPr>
        <w:t>4. Thành viên: Lê Minh Thắng — Chức danh/Chức vụ: Điều dưỡng viên</w:t>
      </w:r>
    </w:p>
    <w:p>
      <w:pPr>
        <w:spacing w:after="40" w:line="288" w:lineRule="auto"/>
        <w:ind w:firstLine="720"/>
        <w:jc w:val="both"/>
      </w:pPr>
      <w:r>
        <w:rPr>
          <w:rFonts w:ascii="Times New Roman" w:hAnsi="Times New Roman"/>
          <w:sz w:val="26"/>
        </w:rPr>
        <w:t>5. Thành viên: Nguyễn Phạm Quốc Anh — Chức danh/Chức vụ: Điều dưỡng viên</w:t>
      </w:r>
    </w:p>
    <w:p>
      <w:pPr>
        <w:spacing w:before="80" w:after="40"/>
      </w:pPr>
      <w:r>
        <w:rPr>
          <w:rFonts w:ascii="Times New Roman" w:hAnsi="Times New Roman"/>
          <w:b/>
          <w:sz w:val="26"/>
        </w:rPr>
        <w:t>5. Định hướng Chủ đề Đề án:</w:t>
      </w:r>
    </w:p>
    <w:p>
      <w:pPr>
        <w:spacing w:after="40" w:line="288" w:lineRule="auto"/>
        <w:ind w:firstLine="720"/>
        <w:jc w:val="both"/>
      </w:pPr>
      <w:r>
        <w:rPr>
          <w:rFonts w:ascii="Times New Roman" w:hAnsi="Times New Roman"/>
          <w:sz w:val="26"/>
        </w:rPr>
        <w:t>[ X ] Nhóm 6: Chủ đề cải tiến khác theo đặc thù riêng của đơn vị (Cải tiến quy trình chuẩn bị thuốc và vật tư can thiệp cấp cứu STEMI bằng mô hình “STEMI Emergency Box” tại Phòng Can thiệp Tim mạch).</w:t>
      </w:r>
    </w:p>
    <w:p>
      <w:pPr>
        <w:spacing w:before="80" w:after="40"/>
      </w:pPr>
      <w:r>
        <w:rPr>
          <w:rFonts w:ascii="Times New Roman" w:hAnsi="Times New Roman"/>
          <w:b/>
          <w:sz w:val="26"/>
        </w:rPr>
        <w:t>6. Vấn đề thực tế và Dữ liệu đo lường ban đầu (Baseline):</w:t>
      </w:r>
    </w:p>
    <w:p>
      <w:pPr>
        <w:spacing w:after="40" w:line="288" w:lineRule="auto"/>
        <w:ind w:firstLine="720"/>
        <w:jc w:val="both"/>
      </w:pPr>
      <w:r>
        <w:rPr>
          <w:rFonts w:ascii="Times New Roman" w:hAnsi="Times New Roman"/>
          <w:sz w:val="26"/>
        </w:rPr>
        <w:t>Hiện tại, quy trình chuẩn bị phòng can thiệp và vật tư khi tiếp nhận bệnh nhân cấp cứu, đặc biệt là bệnh nhân nhồi máu cơ tim cấp có ST chênh lên (STEMI), phụ thuộc đáng kể vào thời điểm người bệnh đến viện và khả năng huy động nhân lực.</w:t>
      </w:r>
    </w:p>
    <w:p>
      <w:pPr>
        <w:spacing w:after="40" w:line="288" w:lineRule="auto"/>
        <w:ind w:firstLine="720"/>
        <w:jc w:val="both"/>
      </w:pPr>
      <w:r>
        <w:rPr>
          <w:rFonts w:ascii="Times New Roman" w:hAnsi="Times New Roman"/>
          <w:sz w:val="26"/>
        </w:rPr>
        <w:t>Trong giờ hành chính, khi có bệnh nhân cần can thiệp cấp cứu, nhân sự tại đơn vị có thể được huy động tương đối đầy đủ trong thời gian ngắn (5 - 7 phút).</w:t>
      </w:r>
    </w:p>
    <w:p>
      <w:pPr>
        <w:spacing w:after="40" w:line="288" w:lineRule="auto"/>
        <w:ind w:firstLine="720"/>
        <w:jc w:val="both"/>
      </w:pPr>
      <w:r>
        <w:rPr>
          <w:rFonts w:ascii="Times New Roman" w:hAnsi="Times New Roman"/>
          <w:sz w:val="26"/>
        </w:rPr>
        <w:t>Tuy nhiên, ngoài giờ hành chính, đặc biệt vào ban đêm, tại thời điểm trực chỉ có 01 điều dưỡng can thiệp tại đơn vị (01 điều dưỡng thường trú cần 10–15 phút mới tới viện). Điều dưỡng trực phải di chuyển nhiều lần qua 4 tủ thuốc và kho vật tư để tìm kiếm từng loại dụng cụ, dẫn đến kéo dài thời gian chuẩn bị và nguy cơ bỏ sót vật tư.</w:t>
      </w:r>
    </w:p>
    <w:p>
      <w:pPr>
        <w:spacing w:after="40" w:line="288" w:lineRule="auto"/>
        <w:ind w:firstLine="720"/>
        <w:jc w:val="both"/>
      </w:pPr>
      <w:r>
        <w:rPr>
          <w:rFonts w:ascii="Times New Roman" w:hAnsi="Times New Roman"/>
          <w:sz w:val="26"/>
        </w:rPr>
        <w:t>• Dữ liệu đo lường ban đầu (Baseline): Một ca bệnh chuẩn bị thuốc, vật tư, phòng chụp cần từ 10 – 15 phút.</w:t>
      </w:r>
    </w:p>
    <w:p>
      <w:pPr>
        <w:spacing w:before="80" w:after="40"/>
      </w:pPr>
      <w:r>
        <w:rPr>
          <w:rFonts w:ascii="Times New Roman" w:hAnsi="Times New Roman"/>
          <w:b/>
          <w:sz w:val="26"/>
        </w:rPr>
        <w:t>7. Mục tiêu cam kết đạt được:</w:t>
      </w:r>
    </w:p>
    <w:p>
      <w:pPr>
        <w:spacing w:after="40" w:line="288" w:lineRule="auto"/>
        <w:ind w:firstLine="720"/>
        <w:jc w:val="both"/>
      </w:pPr>
      <w:r>
        <w:rPr>
          <w:rFonts w:ascii="Times New Roman" w:hAnsi="Times New Roman"/>
          <w:sz w:val="26"/>
        </w:rPr>
        <w:t>• Giảm tổng thời gian chuẩn bị thuốc và vật tư phục vụ can thiệp cấp cứu STEMI từ trung bình 10 - 15 phút xuống còn ≤ 5 phút, tương đương giảm ít nhất 50% thời gian chuẩn bị so với trước khi triển khai cải tiến.</w:t>
      </w:r>
    </w:p>
    <w:p>
      <w:pPr>
        <w:spacing w:after="40" w:line="288" w:lineRule="auto"/>
        <w:ind w:firstLine="720"/>
        <w:jc w:val="both"/>
      </w:pPr>
      <w:r>
        <w:rPr>
          <w:rFonts w:ascii="Times New Roman" w:hAnsi="Times New Roman"/>
          <w:sz w:val="26"/>
        </w:rPr>
        <w:t>• Giảm tỷ lệ thiếu hoặc bỏ sót thuốc, vật tư trong quá trình chuẩn bị cấp cứu xuống &lt; 5%.</w:t>
      </w:r>
    </w:p>
    <w:p>
      <w:pPr>
        <w:spacing w:after="40" w:line="288" w:lineRule="auto"/>
        <w:ind w:firstLine="720"/>
        <w:jc w:val="both"/>
      </w:pPr>
      <w:r>
        <w:rPr>
          <w:rFonts w:ascii="Times New Roman" w:hAnsi="Times New Roman"/>
          <w:sz w:val="26"/>
        </w:rPr>
        <w:t>• 100% STEMI Emergency Box được kiểm tra định kỳ hàng tháng, đảm bảo đầy đủ số lượng, đúng chủng loại, còn hạn sử dụng và duy trì trạng thái sẵn sàng sử dụng 24/7.</w:t>
      </w:r>
    </w:p>
    <w:p>
      <w:pPr>
        <w:spacing w:before="80" w:after="40"/>
      </w:pPr>
      <w:r>
        <w:rPr>
          <w:rFonts w:ascii="Times New Roman" w:hAnsi="Times New Roman"/>
          <w:b/>
          <w:sz w:val="26"/>
        </w:rPr>
        <w:t>8. Các giải pháp chính dự kiến triển khai:</w:t>
      </w:r>
    </w:p>
    <w:p>
      <w:pPr>
        <w:spacing w:after="40" w:line="288" w:lineRule="auto"/>
        <w:ind w:firstLine="720"/>
        <w:jc w:val="both"/>
      </w:pPr>
      <w:r>
        <w:rPr>
          <w:rFonts w:ascii="Times New Roman" w:hAnsi="Times New Roman"/>
          <w:sz w:val="26"/>
        </w:rPr>
        <w:t>1. Xây dựng “STEMI Emergency Box – Bộ vật tư can thiệp cấp cứu chuẩn hóa”: Tập hợp, phân loại và bố trí cố định thuốc cấp cứu, kim chọc mạch, bộ Sheath 6F, Guidewire, Catheter và Stent trong một Box chuyên dụng 3 tầng Poka-Yoke.</w:t>
      </w:r>
    </w:p>
    <w:p>
      <w:pPr>
        <w:spacing w:after="40" w:line="288" w:lineRule="auto"/>
        <w:ind w:firstLine="720"/>
        <w:jc w:val="both"/>
      </w:pPr>
      <w:r>
        <w:rPr>
          <w:rFonts w:ascii="Times New Roman" w:hAnsi="Times New Roman"/>
          <w:sz w:val="26"/>
        </w:rPr>
        <w:t>2. Thiết lập checklist kiểm tra STEMI Emergency Box và dán Tem Niêm phong Xanh (READY SEAL).</w:t>
      </w:r>
    </w:p>
    <w:p>
      <w:pPr>
        <w:spacing w:after="40" w:line="288" w:lineRule="auto"/>
        <w:ind w:firstLine="720"/>
        <w:jc w:val="both"/>
      </w:pPr>
      <w:r>
        <w:rPr>
          <w:rFonts w:ascii="Times New Roman" w:hAnsi="Times New Roman"/>
          <w:sz w:val="26"/>
        </w:rPr>
        <w:t>3. Ban hành Quy trình hoàn nguyên Box sau khi sử dụng (Refill Protocol trong 60 phút).</w:t>
      </w:r>
    </w:p>
    <w:p>
      <w:pPr>
        <w:spacing w:before="80" w:after="40"/>
      </w:pPr>
      <w:r>
        <w:rPr>
          <w:rFonts w:ascii="Times New Roman" w:hAnsi="Times New Roman"/>
          <w:b/>
          <w:sz w:val="26"/>
        </w:rPr>
        <w:t>9. Phạm vi và Kế hoạch triển khai thử nghiệm thực tế:</w:t>
      </w:r>
    </w:p>
    <w:p>
      <w:pPr>
        <w:spacing w:after="40" w:line="288" w:lineRule="auto"/>
        <w:ind w:firstLine="720"/>
        <w:jc w:val="both"/>
      </w:pPr>
      <w:r>
        <w:rPr>
          <w:rFonts w:ascii="Times New Roman" w:hAnsi="Times New Roman"/>
          <w:sz w:val="26"/>
        </w:rPr>
        <w:t>• Khu vực/Buồng bệnh chạy thử nghiệm: Phòng Can thiệp Tim mạch (Cathlab) - Khoa Tim Mạch.</w:t>
      </w:r>
    </w:p>
    <w:p>
      <w:pPr>
        <w:spacing w:after="40" w:line="288" w:lineRule="auto"/>
        <w:ind w:firstLine="720"/>
        <w:jc w:val="both"/>
      </w:pPr>
      <w:r>
        <w:rPr>
          <w:rFonts w:ascii="Times New Roman" w:hAnsi="Times New Roman"/>
          <w:sz w:val="26"/>
        </w:rPr>
        <w:t>• Thời gian áp dụng thử nghiệm: Từ ngày 01/09/2026 đến ngày 30/09/2026.</w:t>
      </w:r>
    </w:p>
    <w:p>
      <w:pPr>
        <w:spacing w:after="40" w:line="288" w:lineRule="auto"/>
        <w:ind w:firstLine="720"/>
        <w:jc w:val="both"/>
      </w:pPr>
      <w:r>
        <w:rPr>
          <w:rFonts w:ascii="Times New Roman" w:hAnsi="Times New Roman"/>
          <w:sz w:val="26"/>
        </w:rPr>
        <w:t>• Sản phẩm đầu ra dự kiến: 02 Hộp STEMI Emergency Box, Dự thảo quy trình vận hành chuẩn (SOP), Bảng kiểm Checklist niêm phong, Sổ tay Nhật ký Pilot 15 - 20 ca.</w:t>
      </w:r>
    </w:p>
    <w:p>
      <w:pPr>
        <w:spacing w:before="160"/>
      </w:pPr>
    </w:p>
    <w:tbl>
      <w:tblPr>
        <w:tblW w:type="auto" w:w="0"/>
        <w:jc w:val="center"/>
        <w:tblLook w:firstColumn="1" w:firstRow="1" w:lastColumn="0" w:lastRow="0" w:noHBand="0" w:noVBand="1" w:val="04A0"/>
      </w:tblPr>
      <w:tblGrid>
        <w:gridCol w:w="4649"/>
        <w:gridCol w:w="4706"/>
      </w:tblGrid>
      <w:tr>
        <w:tc>
          <w:tcPr>
            <w:tcW w:type="dxa" w:w="4677"/>
          </w:tcPr>
          <w:p>
            <w:pPr>
              <w:jc w:val="center"/>
            </w:pPr>
            <w:r>
              <w:rPr>
                <w:rFonts w:ascii="Times New Roman" w:hAnsi="Times New Roman"/>
                <w:b/>
                <w:sz w:val="24"/>
              </w:rPr>
              <w:t>TRƯỞNG KHOA CHỦ TRÌ</w:t>
              <w:br/>
            </w:r>
            <w:r>
              <w:rPr>
                <w:rFonts w:ascii="Times New Roman" w:hAnsi="Times New Roman"/>
                <w:i/>
                <w:sz w:val="22"/>
              </w:rPr>
              <w:t>(Ký và ghi rõ họ tên)</w:t>
              <w:br/>
              <w:br/>
              <w:br/>
              <w:br/>
              <w:br/>
            </w:r>
          </w:p>
        </w:tc>
        <w:tc>
          <w:tcPr>
            <w:tcW w:type="dxa" w:w="4677"/>
          </w:tcPr>
          <w:p>
            <w:pPr>
              <w:jc w:val="center"/>
            </w:pPr>
            <w:r>
              <w:rPr>
                <w:rFonts w:ascii="Times New Roman" w:hAnsi="Times New Roman"/>
                <w:b/>
                <w:sz w:val="24"/>
              </w:rPr>
              <w:t>TRƯỞNG NHÓM ĐỀ ÁN</w:t>
              <w:br/>
            </w:r>
            <w:r>
              <w:rPr>
                <w:rFonts w:ascii="Times New Roman" w:hAnsi="Times New Roman"/>
                <w:i/>
                <w:sz w:val="22"/>
              </w:rPr>
              <w:t>(Ký và ghi rõ họ tên)</w:t>
              <w:br/>
              <w:br/>
              <w:br/>
              <w:br/>
              <w:br/>
            </w:r>
            <w:r>
              <w:rPr>
                <w:rFonts w:ascii="Times New Roman" w:hAnsi="Times New Roman"/>
                <w:b/>
                <w:sz w:val="24"/>
              </w:rPr>
              <w:t>ĐD. Nguyễn Duy Hùng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