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2"/>
              </w:rPr>
              <w:t>PHÒNG KHTH - TỔ QLCL</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20"/>
              <w:jc w:val="center"/>
            </w:pPr>
            <w:r>
              <w:rPr>
                <w:rFonts w:ascii="Times New Roman" w:hAnsi="Times New Roman"/>
                <w:b w:val="0"/>
                <w:i w:val="0"/>
                <w:sz w:val="18"/>
              </w:rPr>
              <w:t>───────────</w:t>
            </w:r>
          </w:p>
        </w:tc>
        <w:tc>
          <w:tcPr>
            <w:tcW w:type="dxa" w:w="5180"/>
          </w:tcPr>
          <w:p>
            <w:pPr>
              <w:spacing w:line="276" w:lineRule="auto" w:before="0" w:after="20"/>
              <w:jc w:val="center"/>
            </w:pPr>
            <w:r>
              <w:rPr>
                <w:rFonts w:ascii="Times New Roman" w:hAnsi="Times New Roman"/>
                <w:b w:val="0"/>
                <w:i w:val="0"/>
                <w:sz w:val="18"/>
              </w:rPr>
              <w:t>───────────────────────</w:t>
            </w:r>
          </w:p>
        </w:tc>
      </w:tr>
      <w:tr>
        <w:tc>
          <w:tcPr>
            <w:tcW w:type="dxa" w:w="4160"/>
          </w:tcPr>
          <w:p>
            <w:pPr>
              <w:spacing w:line="276" w:lineRule="auto" w:before="0" w:after="20"/>
              <w:jc w:val="center"/>
            </w:pPr>
            <w:r>
              <w:rPr>
                <w:rFonts w:ascii="Times New Roman" w:hAnsi="Times New Roman"/>
                <w:b w:val="0"/>
                <w:i w:val="0"/>
                <w:sz w:val="21"/>
              </w:rPr>
              <w:t>Số: 16/TB-QLCL-KAIZEN</w:t>
            </w:r>
          </w:p>
        </w:tc>
        <w:tc>
          <w:tcPr>
            <w:tcW w:type="dxa" w:w="5180"/>
          </w:tcPr>
          <w:p>
            <w:pPr>
              <w:spacing w:line="276" w:lineRule="auto" w:before="0" w:after="20"/>
              <w:jc w:val="center"/>
            </w:pPr>
            <w:r>
              <w:rPr>
                <w:rFonts w:ascii="Times New Roman" w:hAnsi="Times New Roman"/>
                <w:b w:val="0"/>
                <w:i/>
                <w:sz w:val="23"/>
              </w:rPr>
              <w:t>Chí Đám, ngày 05 tháng 09 năm 2026</w:t>
            </w:r>
          </w:p>
        </w:tc>
      </w:tr>
    </w:tbl>
    <w:p>
      <w:pPr>
        <w:spacing w:before="160" w:after="0"/>
      </w:pPr>
    </w:p>
    <w:p>
      <w:pPr>
        <w:spacing w:before="80" w:after="60"/>
        <w:jc w:val="center"/>
      </w:pPr>
      <w:r>
        <w:rPr>
          <w:b/>
          <w:sz w:val="28"/>
        </w:rPr>
        <w:t>THÔNG BÁO KẾT QUẢ THẨM ĐỊNH SƠ BỘ VÀ PHÊ DUYỆT ĐỀ CƯƠNG</w:t>
      </w:r>
    </w:p>
    <w:p>
      <w:pPr>
        <w:spacing w:before="0" w:after="200"/>
        <w:jc w:val="center"/>
      </w:pPr>
      <w:r>
        <w:rPr>
          <w:b/>
          <w:sz w:val="26"/>
        </w:rPr>
        <w:t>V/v: Phê duyệt Triển khai Thực nghiệm Đề án Cải tiến: “Cải tiến quy trình chuẩn bị thuốc và vật tư can thiệp cấp cứu STEMI bằng mô hình “STEMI Emergency Box” tại Phòng Can thiệp Tim mạch”</w:t>
      </w:r>
    </w:p>
    <w:p>
      <w:pPr>
        <w:spacing w:before="40" w:after="80"/>
        <w:ind w:firstLine="720"/>
        <w:jc w:val="left"/>
      </w:pPr>
      <w:r>
        <w:rPr>
          <w:b/>
          <w:i/>
          <w:sz w:val="27"/>
        </w:rPr>
        <w:t>Kính gửi: Lãnh đạo KHOA TIM MẠCH và Nhóm tác giả ĐD. Nguyễn Duy Hùng.</w:t>
      </w:r>
    </w:p>
    <w:p>
      <w:pPr>
        <w:spacing w:before="40" w:after="60"/>
        <w:ind w:firstLine="720"/>
        <w:jc w:val="both"/>
      </w:pPr>
      <w:r>
        <w:rPr>
          <w:sz w:val="27"/>
        </w:rPr>
        <w:t>Căn cứ Kế hoạch tổ chức Hội thi Đề án Cải tiến Chất lượng Bệnh viện kỷ niệm 16 năm thành lập Bệnh viện Đa khoa Hùng Vương (2010 - 2026);</w:t>
      </w:r>
    </w:p>
    <w:p>
      <w:pPr>
        <w:spacing w:before="40" w:after="60"/>
        <w:ind w:firstLine="720"/>
        <w:jc w:val="both"/>
      </w:pPr>
      <w:r>
        <w:rPr>
          <w:sz w:val="27"/>
        </w:rPr>
        <w:t>Căn cứ Phiếu đăng ký Đề án cải tiến của KHOA TIM MẠCH về việc “Cải tiến quy trình chuẩn bị thuốc và vật tư can thiệp cấp cứu STEMI bằng mô hình “STEMI Emergency Box” tại Phòng Can thiệp Tim mạch”;</w:t>
      </w:r>
    </w:p>
    <w:p>
      <w:pPr>
        <w:spacing w:before="40" w:after="60"/>
        <w:ind w:firstLine="720"/>
        <w:jc w:val="both"/>
      </w:pPr>
      <w:r>
        <w:rPr>
          <w:sz w:val="27"/>
        </w:rPr>
        <w:t>Tổ Quản lý Chất lượng (thuộc Phòng Kế hoạch Tổng hợp) đã tiến hành thẩm định chuyên môn về tính cấp thiết, tính an toàn lâm sàng và hiệu quả kỹ thuật của đề án. Kết quả cụ thể như sau:</w:t>
      </w:r>
    </w:p>
    <w:p>
      <w:pPr>
        <w:spacing w:before="160" w:after="80"/>
      </w:pPr>
      <w:r>
        <w:rPr>
          <w:b/>
          <w:sz w:val="27"/>
        </w:rPr>
        <w:t>I. KẾT QUẢ CHẤM ĐIỂM THẨM ĐỊNH CHUYÊN MÔN (THANG ĐIỂM 100):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39"/>
        <w:gridCol w:w="2339"/>
        <w:gridCol w:w="2339"/>
        <w:gridCol w:w="2339"/>
      </w:tblGrid>
      <w:tr>
        <w:tc>
          <w:tcPr>
            <w:tcW w:type="dxa" w:w="640"/>
            <w:shd w:fill="E2E8F0"/>
          </w:tcPr>
          <w:p>
            <w:pPr>
              <w:spacing w:before="80" w:after="80"/>
              <w:jc w:val="center"/>
            </w:pPr>
            <w:r>
              <w:rPr>
                <w:b/>
                <w:sz w:val="26"/>
              </w:rPr>
              <w:t>STT</w:t>
            </w:r>
          </w:p>
        </w:tc>
        <w:tc>
          <w:tcPr>
            <w:tcW w:type="dxa" w:w="3700"/>
            <w:shd w:fill="E2E8F0"/>
          </w:tcPr>
          <w:p>
            <w:pPr>
              <w:spacing w:before="80" w:after="80"/>
              <w:jc w:val="center"/>
            </w:pPr>
            <w:r>
              <w:rPr>
                <w:b/>
                <w:sz w:val="26"/>
              </w:rPr>
              <w:t>Tiêu chí đánh giá (QĐ 2351/QĐ-BVHV)</w:t>
            </w:r>
          </w:p>
        </w:tc>
        <w:tc>
          <w:tcPr>
            <w:tcW w:type="dxa" w:w="1700"/>
            <w:shd w:fill="E2E8F0"/>
          </w:tcPr>
          <w:p>
            <w:pPr>
              <w:spacing w:before="80" w:after="80"/>
              <w:jc w:val="center"/>
            </w:pPr>
            <w:r>
              <w:rPr>
                <w:b/>
                <w:sz w:val="26"/>
              </w:rPr>
              <w:t>Điểm đạt / Tối đa</w:t>
            </w:r>
          </w:p>
        </w:tc>
        <w:tc>
          <w:tcPr>
            <w:tcW w:type="dxa" w:w="3300"/>
            <w:shd w:fill="E2E8F0"/>
          </w:tcPr>
          <w:p>
            <w:pPr>
              <w:spacing w:before="80" w:after="80"/>
              <w:jc w:val="center"/>
            </w:pPr>
            <w:r>
              <w:rPr>
                <w:b/>
                <w:sz w:val="26"/>
              </w:rPr>
              <w:t>Nhận xét của Tổ thẩm định</w:t>
            </w:r>
          </w:p>
        </w:tc>
      </w:tr>
      <w:tr>
        <w:tc>
          <w:tcPr>
            <w:tcW w:type="dxa" w:w="640"/>
          </w:tcPr>
          <w:p>
            <w:pPr>
              <w:spacing w:before="80" w:after="80" w:line="276" w:lineRule="auto"/>
              <w:jc w:val="center"/>
            </w:pPr>
            <w:r>
              <w:rPr>
                <w:b/>
                <w:sz w:val="26"/>
              </w:rPr>
              <w:t>1</w:t>
            </w:r>
          </w:p>
        </w:tc>
        <w:tc>
          <w:tcPr>
            <w:tcW w:type="dxa" w:w="3700"/>
          </w:tcPr>
          <w:p>
            <w:pPr>
              <w:spacing w:before="80" w:after="80" w:line="276" w:lineRule="auto"/>
              <w:jc w:val="both"/>
            </w:pPr>
            <w:r>
              <w:rPr>
                <w:sz w:val="26"/>
              </w:rPr>
              <w:t>Tính cấp thiết và thực trạng vấn đề tại khoa/phòng</w:t>
            </w:r>
          </w:p>
        </w:tc>
        <w:tc>
          <w:tcPr>
            <w:tcW w:type="dxa" w:w="1700"/>
          </w:tcPr>
          <w:p>
            <w:pPr>
              <w:spacing w:before="80" w:after="80" w:line="276" w:lineRule="auto"/>
              <w:jc w:val="center"/>
            </w:pPr>
            <w:r>
              <w:rPr>
                <w:b/>
                <w:sz w:val="26"/>
              </w:rPr>
              <w:t>20 / 20</w:t>
            </w:r>
          </w:p>
        </w:tc>
        <w:tc>
          <w:tcPr>
            <w:tcW w:type="dxa" w:w="3300"/>
          </w:tcPr>
          <w:p>
            <w:pPr>
              <w:spacing w:before="80" w:after="80" w:line="276" w:lineRule="auto"/>
              <w:jc w:val="both"/>
            </w:pPr>
            <w:r>
              <w:rPr>
                <w:sz w:val="26"/>
              </w:rPr>
              <w:t>Đề án tác động trực tiếp đến thời gian vàng cứu sống người bệnh nhồi máu cơ tim cấp.</w:t>
            </w:r>
          </w:p>
        </w:tc>
      </w:tr>
      <w:tr>
        <w:tc>
          <w:tcPr>
            <w:tcW w:type="dxa" w:w="640"/>
          </w:tcPr>
          <w:p>
            <w:pPr>
              <w:spacing w:before="80" w:after="80" w:line="276" w:lineRule="auto"/>
              <w:jc w:val="center"/>
            </w:pPr>
            <w:r>
              <w:rPr>
                <w:b/>
                <w:sz w:val="26"/>
              </w:rPr>
              <w:t>2</w:t>
            </w:r>
          </w:p>
        </w:tc>
        <w:tc>
          <w:tcPr>
            <w:tcW w:type="dxa" w:w="3700"/>
          </w:tcPr>
          <w:p>
            <w:pPr>
              <w:spacing w:before="80" w:after="80" w:line="276" w:lineRule="auto"/>
              <w:jc w:val="both"/>
            </w:pPr>
            <w:r>
              <w:rPr>
                <w:sz w:val="26"/>
              </w:rPr>
              <w:t>Tính khả thi và giải pháp cải tiến</w:t>
            </w:r>
          </w:p>
        </w:tc>
        <w:tc>
          <w:tcPr>
            <w:tcW w:type="dxa" w:w="1700"/>
          </w:tcPr>
          <w:p>
            <w:pPr>
              <w:spacing w:before="80" w:after="80" w:line="276" w:lineRule="auto"/>
              <w:jc w:val="center"/>
            </w:pPr>
            <w:r>
              <w:rPr>
                <w:b/>
                <w:sz w:val="26"/>
              </w:rPr>
              <w:t>23 / 25</w:t>
            </w:r>
          </w:p>
        </w:tc>
        <w:tc>
          <w:tcPr>
            <w:tcW w:type="dxa" w:w="3300"/>
          </w:tcPr>
          <w:p>
            <w:pPr>
              <w:spacing w:before="80" w:after="80" w:line="276" w:lineRule="auto"/>
              <w:jc w:val="both"/>
            </w:pPr>
            <w:r>
              <w:rPr>
                <w:sz w:val="26"/>
              </w:rPr>
              <w:t>Mô hình hộp cấp cứu đóng gói sẵn rất dễ triển khai, chi phí ban đầu gần như bằng không.</w:t>
            </w:r>
          </w:p>
        </w:tc>
      </w:tr>
      <w:tr>
        <w:tc>
          <w:tcPr>
            <w:tcW w:type="dxa" w:w="640"/>
          </w:tcPr>
          <w:p>
            <w:pPr>
              <w:spacing w:before="80" w:after="80" w:line="276" w:lineRule="auto"/>
              <w:jc w:val="center"/>
            </w:pPr>
            <w:r>
              <w:rPr>
                <w:b/>
                <w:sz w:val="26"/>
              </w:rPr>
              <w:t>3</w:t>
            </w:r>
          </w:p>
        </w:tc>
        <w:tc>
          <w:tcPr>
            <w:tcW w:type="dxa" w:w="3700"/>
          </w:tcPr>
          <w:p>
            <w:pPr>
              <w:spacing w:before="80" w:after="80" w:line="276" w:lineRule="auto"/>
              <w:jc w:val="both"/>
            </w:pPr>
            <w:r>
              <w:rPr>
                <w:sz w:val="26"/>
              </w:rPr>
              <w:t>Hiệu quả đo lường và khả năng cải thiện</w:t>
            </w:r>
          </w:p>
        </w:tc>
        <w:tc>
          <w:tcPr>
            <w:tcW w:type="dxa" w:w="1700"/>
          </w:tcPr>
          <w:p>
            <w:pPr>
              <w:spacing w:before="80" w:after="80" w:line="276" w:lineRule="auto"/>
              <w:jc w:val="center"/>
            </w:pPr>
            <w:r>
              <w:rPr>
                <w:b/>
                <w:sz w:val="26"/>
              </w:rPr>
              <w:t>23 / 20</w:t>
            </w:r>
          </w:p>
        </w:tc>
        <w:tc>
          <w:tcPr>
            <w:tcW w:type="dxa" w:w="3300"/>
          </w:tcPr>
          <w:p>
            <w:pPr>
              <w:spacing w:before="80" w:after="80" w:line="276" w:lineRule="auto"/>
              <w:jc w:val="both"/>
            </w:pPr>
            <w:r>
              <w:rPr>
                <w:sz w:val="26"/>
              </w:rPr>
              <w:t>Rút ngắn thời gian chuẩn bị từ 20 phút xuống dưới 3 phút, tối ưu hóa chỉ số Door-to-Balloon.</w:t>
            </w:r>
          </w:p>
        </w:tc>
      </w:tr>
      <w:tr>
        <w:tc>
          <w:tcPr>
            <w:tcW w:type="dxa" w:w="640"/>
          </w:tcPr>
          <w:p>
            <w:pPr>
              <w:spacing w:before="80" w:after="80" w:line="276" w:lineRule="auto"/>
              <w:jc w:val="center"/>
            </w:pPr>
            <w:r>
              <w:rPr>
                <w:b/>
                <w:sz w:val="26"/>
              </w:rPr>
              <w:t>4</w:t>
            </w:r>
          </w:p>
        </w:tc>
        <w:tc>
          <w:tcPr>
            <w:tcW w:type="dxa" w:w="3700"/>
          </w:tcPr>
          <w:p>
            <w:pPr>
              <w:spacing w:before="80" w:after="80" w:line="276" w:lineRule="auto"/>
              <w:jc w:val="both"/>
            </w:pPr>
            <w:r>
              <w:rPr>
                <w:sz w:val="26"/>
              </w:rPr>
              <w:t>Khả năng chuẩn hóa và nhân rộng quy trình</w:t>
            </w:r>
          </w:p>
        </w:tc>
        <w:tc>
          <w:tcPr>
            <w:tcW w:type="dxa" w:w="1700"/>
          </w:tcPr>
          <w:p>
            <w:pPr>
              <w:spacing w:before="80" w:after="80" w:line="276" w:lineRule="auto"/>
              <w:jc w:val="center"/>
            </w:pPr>
            <w:r>
              <w:rPr>
                <w:b/>
                <w:sz w:val="26"/>
              </w:rPr>
              <w:t>14 / 15</w:t>
            </w:r>
          </w:p>
        </w:tc>
        <w:tc>
          <w:tcPr>
            <w:tcW w:type="dxa" w:w="3300"/>
          </w:tcPr>
          <w:p>
            <w:pPr>
              <w:spacing w:before="80" w:after="80" w:line="276" w:lineRule="auto"/>
              <w:jc w:val="both"/>
            </w:pPr>
            <w:r>
              <w:rPr>
                <w:sz w:val="26"/>
              </w:rPr>
              <w:t>Có thể nhân rộng mô hình hộp cấp cứu khẩn cấp cho Khoa Cấp cứu, ICU và Phòng Mổ.</w:t>
            </w:r>
          </w:p>
        </w:tc>
      </w:tr>
      <w:tr>
        <w:tc>
          <w:tcPr>
            <w:tcW w:type="dxa" w:w="640"/>
          </w:tcPr>
          <w:p>
            <w:pPr>
              <w:spacing w:before="80" w:after="80" w:line="276" w:lineRule="auto"/>
              <w:jc w:val="center"/>
            </w:pPr>
            <w:r>
              <w:rPr>
                <w:b/>
                <w:sz w:val="26"/>
              </w:rPr>
              <w:t>5</w:t>
            </w:r>
          </w:p>
        </w:tc>
        <w:tc>
          <w:tcPr>
            <w:tcW w:type="dxa" w:w="3700"/>
          </w:tcPr>
          <w:p>
            <w:pPr>
              <w:spacing w:before="80" w:after="80" w:line="276" w:lineRule="auto"/>
              <w:jc w:val="both"/>
            </w:pPr>
            <w:r>
              <w:rPr>
                <w:sz w:val="26"/>
              </w:rPr>
              <w:t>Tính sáng tạo và an toàn người bệnh</w:t>
            </w:r>
          </w:p>
        </w:tc>
        <w:tc>
          <w:tcPr>
            <w:tcW w:type="dxa" w:w="1700"/>
          </w:tcPr>
          <w:p>
            <w:pPr>
              <w:spacing w:before="80" w:after="80" w:line="276" w:lineRule="auto"/>
              <w:jc w:val="center"/>
            </w:pPr>
            <w:r>
              <w:rPr>
                <w:b/>
                <w:sz w:val="26"/>
              </w:rPr>
              <w:t>14 / 20</w:t>
            </w:r>
          </w:p>
        </w:tc>
        <w:tc>
          <w:tcPr>
            <w:tcW w:type="dxa" w:w="3300"/>
          </w:tcPr>
          <w:p>
            <w:pPr>
              <w:spacing w:before="80" w:after="80" w:line="276" w:lineRule="auto"/>
              <w:jc w:val="both"/>
            </w:pPr>
            <w:r>
              <w:rPr>
                <w:sz w:val="26"/>
              </w:rPr>
              <w:t>Ứng dụng phương pháp 5S và Lean y tế bài bản, khoa học và thực chất.</w:t>
            </w:r>
          </w:p>
        </w:tc>
      </w:tr>
      <w:tr>
        <w:tc>
          <w:tcPr>
            <w:tcW w:type="dxa" w:w="640"/>
            <w:shd w:fill="CBD5E1"/>
          </w:tcPr>
          <w:p>
            <w:r/>
          </w:p>
        </w:tc>
        <w:tc>
          <w:tcPr>
            <w:tcW w:type="dxa" w:w="3700"/>
            <w:shd w:fill="CBD5E1"/>
          </w:tcPr>
          <w:p>
            <w:pPr>
              <w:spacing w:before="80" w:after="80"/>
            </w:pPr>
            <w:r>
              <w:rPr>
                <w:b/>
                <w:sz w:val="26"/>
              </w:rPr>
              <w:t>TỔNG ĐIỂM ĐÁNH GIÁ THẨM ĐỊNH</w:t>
            </w:r>
          </w:p>
        </w:tc>
        <w:tc>
          <w:tcPr>
            <w:tcW w:type="dxa" w:w="1700"/>
            <w:shd w:fill="CBD5E1"/>
          </w:tcPr>
          <w:p>
            <w:pPr>
              <w:spacing w:before="80" w:after="80"/>
              <w:jc w:val="center"/>
            </w:pPr>
            <w:r>
              <w:rPr>
                <w:b/>
                <w:sz w:val="27"/>
              </w:rPr>
              <w:t>94 / 100</w:t>
            </w:r>
          </w:p>
        </w:tc>
        <w:tc>
          <w:tcPr>
            <w:tcW w:type="dxa" w:w="3300"/>
            <w:shd w:fill="CBD5E1"/>
          </w:tcPr>
          <w:p>
            <w:pPr>
              <w:spacing w:before="80" w:after="80"/>
            </w:pPr>
            <w:r>
              <w:rPr>
                <w:b/>
                <w:sz w:val="25"/>
              </w:rPr>
              <w:t>XẾP LOẠI: ĐẠT LOẠI A (XUẤT SẮC) - PHÊ DUYỆT TRIỂN KHAI THỰC NGHIỆM</w:t>
            </w:r>
          </w:p>
        </w:tc>
      </w:tr>
    </w:tbl>
    <w:p>
      <w:pPr>
        <w:spacing w:before="200" w:after="80"/>
      </w:pPr>
      <w:r>
        <w:rPr>
          <w:b/>
          <w:sz w:val="27"/>
        </w:rPr>
        <w:t>II. KẾT LUẬN VÀ HƯỚNG DẪN TRIỂN KHAI THỰC NGHIỆM:</w:t>
      </w:r>
    </w:p>
    <w:p>
      <w:pPr>
        <w:spacing w:before="40" w:after="60"/>
        <w:ind w:firstLine="720"/>
        <w:jc w:val="both"/>
      </w:pPr>
      <w:r>
        <w:rPr>
          <w:sz w:val="27"/>
        </w:rPr>
        <w:t>1. Phê duyệt Đề cương A3 cho nhóm tác giả KHOA TIM MẠCH để chính thức triển khai thử nghiệm thực tế đề án theo đúng kế hoạch cam kết.</w:t>
      </w:r>
    </w:p>
    <w:p>
      <w:pPr>
        <w:spacing w:before="40" w:after="60"/>
        <w:ind w:firstLine="720"/>
        <w:jc w:val="both"/>
      </w:pPr>
      <w:r>
        <w:rPr>
          <w:sz w:val="27"/>
        </w:rPr>
        <w:t>2. Đề nghị nhóm tác giả tuân thủ quy trình chuyên môn, theo dõi sát sao các chỉ số an toàn người bệnh và ghi nhận đầy đủ số liệu đo lường thực tế.</w:t>
      </w:r>
    </w:p>
    <w:p>
      <w:pPr>
        <w:spacing w:before="40" w:after="60"/>
        <w:ind w:firstLine="720"/>
        <w:jc w:val="both"/>
      </w:pPr>
      <w:r>
        <w:rPr>
          <w:sz w:val="27"/>
        </w:rPr>
        <w:t>3. Tổ QLCL sẽ phối hợp kiểm chuẩn và hỗ trợ đơn vị hoàn thiện Báo cáo Nghiệm thu A3 trước Vòng Chung kết Hội thi Kaizen 16 Năm.</w:t>
      </w:r>
    </w:p>
    <w:p>
      <w:pPr>
        <w:spacing w:before="200" w:after="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420"/>
          </w:tcPr>
          <w:p>
            <w:pPr>
              <w:spacing w:line="276" w:lineRule="auto" w:before="0" w:after="40"/>
              <w:jc w:val="left"/>
            </w:pPr>
            <w:r/>
            <w:r>
              <w:rPr>
                <w:b/>
                <w:i/>
                <w:sz w:val="22"/>
              </w:rPr>
              <w:t>Nơi nhận:</w:t>
            </w:r>
          </w:p>
          <w:p>
            <w:pPr>
              <w:spacing w:line="276" w:lineRule="auto" w:before="0" w:after="20"/>
              <w:jc w:val="left"/>
            </w:pPr>
            <w:r>
              <w:rPr>
                <w:sz w:val="21"/>
              </w:rPr>
              <w:t>- Ban Giám đốc (để b/c);</w:t>
            </w:r>
          </w:p>
          <w:p>
            <w:pPr>
              <w:spacing w:line="276" w:lineRule="auto" w:before="0" w:after="20"/>
              <w:jc w:val="left"/>
            </w:pPr>
            <w:r>
              <w:rPr>
                <w:sz w:val="21"/>
              </w:rPr>
              <w:t>- Lãnh đạo KHOA TIM MẠCH (để t/h);</w:t>
            </w:r>
          </w:p>
          <w:p>
            <w:pPr>
              <w:spacing w:line="276" w:lineRule="auto" w:before="0" w:after="20"/>
              <w:jc w:val="left"/>
            </w:pPr>
            <w:r>
              <w:rPr>
                <w:sz w:val="21"/>
              </w:rPr>
              <w:t>- Nhóm tác giả ĐD. Nguyễn Duy Hùng;</w:t>
            </w:r>
          </w:p>
          <w:p>
            <w:pPr>
              <w:spacing w:line="276" w:lineRule="auto" w:before="0" w:after="20"/>
              <w:jc w:val="left"/>
            </w:pPr>
            <w:r>
              <w:rPr>
                <w:sz w:val="21"/>
              </w:rPr>
              <w:t>- Lưu: VT, KHTH (QLCL).</w:t>
            </w:r>
          </w:p>
        </w:tc>
        <w:tc>
          <w:tcPr>
            <w:tcW w:type="dxa" w:w="4920"/>
          </w:tcPr>
          <w:p>
            <w:pPr>
              <w:spacing w:line="276" w:lineRule="auto" w:before="0" w:after="0"/>
              <w:jc w:val="center"/>
            </w:pPr>
            <w:r>
              <w:rPr>
                <w:b/>
                <w:sz w:val="26"/>
              </w:rPr>
              <w:t>TỔ TRƯỞNG TỔ QLCL</w:t>
              <w:br/>
            </w:r>
            <w:r>
              <w:rPr>
                <w:i/>
                <w:sz w:val="23"/>
              </w:rPr>
              <w:t>(Đã ký)</w:t>
              <w:br/>
              <w:br/>
              <w:br/>
              <w:br/>
              <w:br/>
            </w:r>
            <w:r>
              <w:rPr>
                <w:b/>
                <w:sz w:val="27"/>
              </w:rPr>
              <w:t>Trần Đình Vũ</w:t>
            </w:r>
          </w:p>
        </w:tc>
      </w:tr>
    </w:tbl>
    <w:sectPr w:rsidR="00FC693F" w:rsidRPr="0006063C" w:rsidSect="00034616">
      <w:pgSz w:w="11909" w:h="16834"/>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60" w:line="276" w:lineRule="auto"/>
      <w:jc w:val="both"/>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