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3800"/>
        <w:gridCol w:w="5838"/>
      </w:tblGrid>
      <w:tr>
        <w:tc>
          <w:tcPr>
            <w:tcW w:type="dxa" w:w="3800"/>
            <w:tcBorders>
              <w:top w:val="none" w:color="FFFFFF" w:sz="0"/>
              <w:left w:val="none" w:color="FFFFFF" w:sz="0"/>
              <w:bottom w:val="none" w:color="FFFFFF" w:sz="0"/>
              <w:right w:val="none" w:color="FFFFFF" w:sz="0"/>
            </w:tcBorders>
            <w:tcMar>
              <w:top w:type="dxa" w:w="0"/>
              <w:left w:type="dxa" w:w="30"/>
              <w:bottom w:type="dxa" w:w="0"/>
              <w:right w:type="dxa" w:w="30"/>
            </w:tcMar>
            <w:vAlign w:val="top"/>
          </w:tcPr>
          <w:p>
            <w:pPr>
              <w:spacing w:after="0" w:before="0" w:line="276"/>
              <w:jc w:val="center"/>
            </w:pPr>
            <w:r>
              <w:rPr>
                <w:b/>
                <w:bCs/>
                <w:sz w:val="24"/>
                <w:szCs w:val="24"/>
              </w:rPr>
              <w:t xml:space="preserve">CÔNG TY TNHH BVOT GROUP</w:t>
            </w:r>
          </w:p>
          <w:p>
            <w:pPr>
              <w:spacing w:after="0" w:before="0" w:line="276"/>
              <w:jc w:val="center"/>
            </w:pPr>
            <w:r>
              <w:rPr>
                <w:sz w:val="18"/>
                <w:szCs w:val="18"/>
              </w:rPr>
              <w:t xml:space="preserve">―――――――</w:t>
            </w:r>
          </w:p>
          <w:p>
            <w:pPr>
              <w:spacing w:after="0" w:before="30" w:line="276"/>
              <w:jc w:val="center"/>
            </w:pPr>
            <w:r>
              <w:rPr>
                <w:sz w:val="24"/>
                <w:szCs w:val="24"/>
              </w:rPr>
              <w:t xml:space="preserve">Số:          /KH-BVOT</w:t>
            </w:r>
          </w:p>
        </w:tc>
        <w:tc>
          <w:tcPr>
            <w:tcW w:type="dxa" w:w="5838"/>
            <w:tcBorders>
              <w:top w:val="none" w:color="FFFFFF" w:sz="0"/>
              <w:left w:val="none" w:color="FFFFFF" w:sz="0"/>
              <w:bottom w:val="none" w:color="FFFFFF" w:sz="0"/>
              <w:right w:val="none" w:color="FFFFFF" w:sz="0"/>
            </w:tcBorders>
            <w:tcMar>
              <w:top w:type="dxa" w:w="0"/>
              <w:left w:type="dxa" w:w="30"/>
              <w:bottom w:type="dxa" w:w="0"/>
              <w:right w:type="dxa" w:w="30"/>
            </w:tcMar>
            <w:vAlign w:val="top"/>
          </w:tcPr>
          <w:p>
            <w:pPr>
              <w:spacing w:after="0" w:before="0" w:line="276"/>
              <w:jc w:val="center"/>
            </w:pPr>
            <w:r>
              <w:rPr>
                <w:b/>
                <w:bCs/>
                <w:sz w:val="24"/>
                <w:szCs w:val="24"/>
              </w:rPr>
              <w:t xml:space="preserve">CỘNG HÒA XÃ HỘI CHỦ NGHĨA VIỆT NAM</w:t>
            </w:r>
          </w:p>
          <w:p>
            <w:pPr>
              <w:spacing w:after="0" w:before="0" w:line="276"/>
              <w:jc w:val="center"/>
            </w:pPr>
            <w:r>
              <w:rPr>
                <w:b/>
                <w:bCs/>
                <w:sz w:val="26"/>
                <w:szCs w:val="26"/>
              </w:rPr>
              <w:t xml:space="preserve">Độc lập - Tự do - Hạnh phúc</w:t>
            </w:r>
          </w:p>
          <w:p>
            <w:pPr>
              <w:spacing w:after="0" w:before="0" w:line="276"/>
              <w:jc w:val="center"/>
            </w:pPr>
            <w:r>
              <w:rPr>
                <w:sz w:val="18"/>
                <w:szCs w:val="18"/>
              </w:rPr>
              <w:t xml:space="preserve">―――――――――――――</w:t>
            </w:r>
          </w:p>
          <w:p>
            <w:pPr>
              <w:spacing w:after="0" w:before="30" w:line="276"/>
              <w:jc w:val="center"/>
            </w:pPr>
            <w:r>
              <w:rPr>
                <w:i/>
                <w:iCs/>
                <w:sz w:val="24"/>
                <w:szCs w:val="24"/>
              </w:rPr>
              <w:t xml:space="preserve">Hà Nội, ngày     tháng     năm 2026</w:t>
            </w:r>
          </w:p>
        </w:tc>
      </w:tr>
    </w:tbl>
    <w:p>
      <w:pPr>
        <w:spacing w:after="20" w:before="0" w:line="200"/>
        <w:ind w:firstLine="567"/>
        <w:jc w:val="both"/>
      </w:pPr>
      <w:r>
        <w:rPr>
          <w:sz w:val="24"/>
          <w:szCs w:val="24"/>
        </w:rPr>
        <w:t xml:space="preserve"> </w:t>
      </w:r>
    </w:p>
    <w:p>
      <w:pPr>
        <w:spacing w:after="0" w:before="0" w:line="252"/>
        <w:jc w:val="center"/>
      </w:pPr>
      <w:r>
        <w:rPr>
          <w:b/>
          <w:bCs/>
          <w:sz w:val="28"/>
          <w:szCs w:val="28"/>
        </w:rPr>
        <w:t xml:space="preserve">KẾ HOẠCH</w:t>
      </w:r>
    </w:p>
    <w:p>
      <w:pPr>
        <w:spacing w:after="0" w:before="0" w:line="252"/>
        <w:jc w:val="center"/>
      </w:pPr>
      <w:r>
        <w:rPr>
          <w:b/>
          <w:bCs/>
          <w:sz w:val="24"/>
          <w:szCs w:val="24"/>
        </w:rPr>
        <w:t xml:space="preserve">CHƯƠNG TRÌNH TUYÊN TRUYỀN, KHẢO SÁT AN TOÀN HÀNG KHÔNG “VÙNG TRỜI BÌNH YÊN”</w:t>
      </w:r>
      <w:r>
        <w:rPr>
          <w:sz w:val="24"/>
          <w:szCs w:val="24"/>
        </w:rPr>
        <w:t xml:space="preserve"> (tên tạm gọi)</w:t>
      </w:r>
    </w:p>
    <w:p>
      <w:pPr>
        <w:spacing w:after="0" w:before="0" w:line="252"/>
        <w:jc w:val="center"/>
      </w:pPr>
      <w:r>
        <w:rPr>
          <w:sz w:val="24"/>
          <w:szCs w:val="24"/>
        </w:rPr>
        <w:t xml:space="preserve">Trường THPT Trung Giã, Sóc Sơn, Hà Nội – Năm học 2026 – 2027</w:t>
      </w:r>
    </w:p>
    <w:p>
      <w:pPr>
        <w:spacing w:after="60" w:before="0" w:line="252"/>
        <w:jc w:val="center"/>
      </w:pPr>
      <w:r>
        <w:rPr>
          <w:i/>
          <w:iCs/>
          <w:sz w:val="22"/>
          <w:szCs w:val="22"/>
        </w:rPr>
        <w:t xml:space="preserve">(Kèm theo Công văn số          /2026/CV-BVOT của Công ty TNHH BVOT GROUP)</w:t>
      </w:r>
    </w:p>
    <w:p>
      <w:pPr>
        <w:keepNext/>
        <w:spacing w:after="30" w:before="70" w:line="252"/>
        <w:jc w:val="both"/>
      </w:pPr>
      <w:r>
        <w:rPr>
          <w:b/>
          <w:bCs/>
          <w:sz w:val="24"/>
          <w:szCs w:val="24"/>
        </w:rPr>
        <w:t xml:space="preserve">I. CĂN CỨ</w:t>
      </w:r>
    </w:p>
    <w:p>
      <w:pPr>
        <w:spacing w:after="30" w:before="0" w:line="252"/>
        <w:ind w:firstLine="567"/>
        <w:jc w:val="both"/>
      </w:pPr>
      <w:r>
        <w:rPr>
          <w:sz w:val="24"/>
          <w:szCs w:val="24"/>
        </w:rPr>
        <w:t xml:space="preserve">Công văn số 15008/BXD-VT&amp;ATGT ngày 22/9/2026 của Bộ Xây dựng về việc kết nối và phối hợp tuyên truyền, khảo sát nâng cao an toàn hàng không, đề nghị Công ty TNHH BVOT Group chủ động phối hợp với cơ quan có thẩm quyền tại địa phương và các cơ quan, đơn vị có liên quan để triển khai hoạt động theo quy định của pháp luật.</w:t>
      </w:r>
    </w:p>
    <w:p>
      <w:pPr>
        <w:keepNext/>
        <w:spacing w:after="30" w:before="70" w:line="252"/>
        <w:jc w:val="both"/>
      </w:pPr>
      <w:r>
        <w:rPr>
          <w:b/>
          <w:bCs/>
          <w:sz w:val="24"/>
          <w:szCs w:val="24"/>
        </w:rPr>
        <w:t xml:space="preserve">II. MỤC ĐÍCH – YÊU CẦU</w:t>
      </w:r>
    </w:p>
    <w:p>
      <w:pPr>
        <w:pStyle w:val="ListParagraph"/>
        <w:numPr>
          <w:ilvl w:val="0"/>
          <w:numId w:val="2"/>
        </w:numPr>
        <w:spacing w:after="10" w:before="0" w:line="252"/>
        <w:jc w:val="both"/>
      </w:pPr>
      <w:r>
        <w:rPr>
          <w:b/>
          <w:bCs/>
          <w:sz w:val="24"/>
          <w:szCs w:val="24"/>
        </w:rPr>
        <w:t xml:space="preserve">Mục đích:</w:t>
      </w:r>
      <w:r>
        <w:rPr>
          <w:sz w:val="24"/>
          <w:szCs w:val="24"/>
        </w:rPr>
        <w:t xml:space="preserve"> Giúp học sinh nhận diện nguy cơ mất an toàn hàng không từ thả diều, bóng bay, đèn trời; thiết bị bay (flycam, UAV, drone); đèn laser, đèn công suất lớn chiếu lên vùng trời gần sân bay; hiểu vì sao các hành vi này nguy hiểm và biết cách ứng xử, thông báo khi phát hiện nguy cơ. Khảo sát nhận thức của học sinh dưới dạng số liệu chung, không thể hiện danh tính học sinh hay tên trường.</w:t>
      </w:r>
    </w:p>
    <w:p>
      <w:pPr>
        <w:pStyle w:val="ListParagraph"/>
        <w:numPr>
          <w:ilvl w:val="0"/>
          <w:numId w:val="2"/>
        </w:numPr>
        <w:spacing w:after="10" w:before="0" w:line="252"/>
        <w:jc w:val="both"/>
      </w:pPr>
      <w:r>
        <w:rPr>
          <w:b/>
          <w:bCs/>
          <w:sz w:val="24"/>
          <w:szCs w:val="24"/>
        </w:rPr>
        <w:t xml:space="preserve">Yêu cầu:</w:t>
      </w:r>
      <w:r>
        <w:rPr>
          <w:sz w:val="24"/>
          <w:szCs w:val="24"/>
        </w:rPr>
        <w:t xml:space="preserve"> Nội dung ngắn gọn, tích cực, không dùng hình ảnh gây sợ hãi; gọn trong 30 phút giờ chào cờ; không thu thập dữ liệu cá nhân (họ tên, số điện thoại, địa chỉ…); Ban tổ chức (BVOT) không thả diều, không bay flycam/drone/UAV, không dùng laser hoặc đèn công suất lớn trong khuôn viên trường.</w:t>
      </w:r>
    </w:p>
    <w:p>
      <w:pPr>
        <w:keepNext/>
        <w:spacing w:after="30" w:before="70" w:line="252"/>
        <w:jc w:val="both"/>
      </w:pPr>
      <w:r>
        <w:rPr>
          <w:b/>
          <w:bCs/>
          <w:sz w:val="24"/>
          <w:szCs w:val="24"/>
        </w:rPr>
        <w:t xml:space="preserve">III. THỜI GIAN – ĐỊA ĐIỂM – ĐỐI TƯỢNG</w:t>
      </w:r>
    </w:p>
    <w:p>
      <w:pPr>
        <w:pStyle w:val="ListParagraph"/>
        <w:numPr>
          <w:ilvl w:val="0"/>
          <w:numId w:val="2"/>
        </w:numPr>
        <w:spacing w:after="10" w:before="0" w:line="252"/>
        <w:jc w:val="both"/>
      </w:pPr>
      <w:r>
        <w:rPr>
          <w:b/>
          <w:bCs/>
          <w:sz w:val="24"/>
          <w:szCs w:val="24"/>
        </w:rPr>
        <w:t xml:space="preserve">Tuyên truyền và hỏi đáp:</w:t>
      </w:r>
      <w:r>
        <w:rPr>
          <w:sz w:val="24"/>
          <w:szCs w:val="24"/>
        </w:rPr>
        <w:t xml:space="preserve"> 30 phút sáng thứ Hai (giờ chào cờ) trong tháng 10 hoặc tháng 11/2026, ngày cụ thể do Nhà trường chọn; sân trường (ngoài trời, dùng loa, micro, tranh ảnh khổ lớn, không chiếu video); toàn thể học sinh.</w:t>
      </w:r>
    </w:p>
    <w:p>
      <w:pPr>
        <w:pStyle w:val="ListParagraph"/>
        <w:numPr>
          <w:ilvl w:val="0"/>
          <w:numId w:val="2"/>
        </w:numPr>
        <w:spacing w:after="10" w:before="0" w:line="252"/>
        <w:jc w:val="both"/>
      </w:pPr>
      <w:r>
        <w:rPr>
          <w:b/>
          <w:bCs/>
          <w:sz w:val="24"/>
          <w:szCs w:val="24"/>
        </w:rPr>
        <w:t xml:space="preserve">Khảo sát:</w:t>
      </w:r>
      <w:r>
        <w:rPr>
          <w:sz w:val="24"/>
          <w:szCs w:val="24"/>
        </w:rPr>
        <w:t xml:space="preserve"> 03 lớp đại diện (mỗi khối 10, 11, 12 một lớp, khoảng 120 học sinh); 10 – 15 phút/lớp, do Nhà trường/Đoàn trường bố trí.</w:t>
      </w:r>
    </w:p>
    <w:p>
      <w:pPr>
        <w:keepNext/>
        <w:spacing w:after="30" w:before="70" w:line="252"/>
        <w:jc w:val="both"/>
      </w:pPr>
      <w:r>
        <w:rPr>
          <w:b/>
          <w:bCs/>
          <w:sz w:val="24"/>
          <w:szCs w:val="24"/>
        </w:rPr>
        <w:t xml:space="preserve">IV. NỘI DUNG TUYÊN TRUYỀN: “BẦU TRỜI ĐẸP VÀ BÌNH YÊN – CÙNG NHẬN DIỆN CÁC NGUY CƠ GẦN SÂN BAY”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638"/>
      </w:tblGrid>
      <w:tr>
        <w:trPr>
          <w:tblHeader/>
        </w:trPr>
        <w:tc>
          <w:tcPr>
            <w:tcW w:type="dxa" w:w="1900"/>
            <w:tcBorders>
              <w:top w:val="single" w:color="000000" w:sz="4"/>
              <w:left w:val="single" w:color="000000" w:sz="4"/>
              <w:bottom w:val="single" w:color="000000" w:sz="4"/>
              <w:right w:val="single" w:color="000000" w:sz="4"/>
            </w:tcBorders>
            <w:shd w:fill="D9E2F3" w:color="auto" w:val="clear"/>
            <w:tcMar>
              <w:top w:type="dxa" w:w="20"/>
              <w:left w:type="dxa" w:w="80"/>
              <w:bottom w:type="dxa" w:w="20"/>
              <w:right w:type="dxa" w:w="80"/>
            </w:tcMar>
            <w:vAlign w:val="center"/>
          </w:tcPr>
          <w:p>
            <w:pPr>
              <w:spacing w:after="40" w:before="0" w:line="264"/>
              <w:jc w:val="center"/>
            </w:pPr>
            <w:r>
              <w:rPr>
                <w:b/>
                <w:bCs/>
                <w:sz w:val="22"/>
                <w:szCs w:val="22"/>
              </w:rPr>
              <w:t xml:space="preserve">Nhóm nguy cơ</w:t>
            </w:r>
          </w:p>
        </w:tc>
        <w:tc>
          <w:tcPr>
            <w:tcW w:type="dxa" w:w="4100"/>
            <w:tcBorders>
              <w:top w:val="single" w:color="000000" w:sz="4"/>
              <w:left w:val="single" w:color="000000" w:sz="4"/>
              <w:bottom w:val="single" w:color="000000" w:sz="4"/>
              <w:right w:val="single" w:color="000000" w:sz="4"/>
            </w:tcBorders>
            <w:shd w:fill="D9E2F3" w:color="auto" w:val="clear"/>
            <w:tcMar>
              <w:top w:type="dxa" w:w="20"/>
              <w:left w:type="dxa" w:w="80"/>
              <w:bottom w:type="dxa" w:w="20"/>
              <w:right w:type="dxa" w:w="80"/>
            </w:tcMar>
            <w:vAlign w:val="center"/>
          </w:tcPr>
          <w:p>
            <w:pPr>
              <w:spacing w:after="40" w:before="0" w:line="264"/>
              <w:jc w:val="center"/>
            </w:pPr>
            <w:r>
              <w:rPr>
                <w:b/>
                <w:bCs/>
                <w:sz w:val="22"/>
                <w:szCs w:val="22"/>
              </w:rPr>
              <w:t xml:space="preserve">Vì sao nguy hiểm</w:t>
            </w:r>
          </w:p>
        </w:tc>
        <w:tc>
          <w:tcPr>
            <w:tcW w:type="dxa" w:w="3638"/>
            <w:tcBorders>
              <w:top w:val="single" w:color="000000" w:sz="4"/>
              <w:left w:val="single" w:color="000000" w:sz="4"/>
              <w:bottom w:val="single" w:color="000000" w:sz="4"/>
              <w:right w:val="single" w:color="000000" w:sz="4"/>
            </w:tcBorders>
            <w:shd w:fill="D9E2F3" w:color="auto" w:val="clear"/>
            <w:tcMar>
              <w:top w:type="dxa" w:w="20"/>
              <w:left w:type="dxa" w:w="80"/>
              <w:bottom w:type="dxa" w:w="20"/>
              <w:right w:type="dxa" w:w="80"/>
            </w:tcMar>
            <w:vAlign w:val="center"/>
          </w:tcPr>
          <w:p>
            <w:pPr>
              <w:spacing w:after="40" w:before="0" w:line="264"/>
              <w:jc w:val="center"/>
            </w:pPr>
            <w:r>
              <w:rPr>
                <w:b/>
                <w:bCs/>
                <w:sz w:val="22"/>
                <w:szCs w:val="22"/>
              </w:rPr>
              <w:t xml:space="preserve">Học sinh nên làm</w:t>
            </w:r>
          </w:p>
        </w:tc>
      </w:tr>
      <w:tr>
        <w:trPr>
          <w:cantSplit/>
        </w:trP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b/>
                <w:bCs/>
                <w:sz w:val="22"/>
                <w:szCs w:val="22"/>
              </w:rPr>
              <w:t xml:space="preserve">1. Diều, bóng bay, đèn trời</w:t>
            </w:r>
          </w:p>
        </w:tc>
        <w:tc>
          <w:tcPr>
            <w:tcW w:type="dxa" w:w="41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Dây, thân diều có thể va chạm, cuốn vào động cơ, cánh tàu bay; tàu bay phải bay vòng hoặc hủy hạ cánh. Đèn trời mang lửa, bay không kiểm soát.</w:t>
            </w:r>
          </w:p>
        </w:tc>
        <w:tc>
          <w:tcPr>
            <w:tcW w:type="dxa" w:w="3638"/>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Chỉ thả diều ở bãi đất trống xa sân bay, xa đường dây điện; không thả đèn trời.</w:t>
            </w:r>
          </w:p>
        </w:tc>
      </w:tr>
      <w:tr>
        <w:trPr>
          <w:cantSplit/>
        </w:trP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b/>
                <w:bCs/>
                <w:sz w:val="22"/>
                <w:szCs w:val="22"/>
              </w:rPr>
              <w:t xml:space="preserve">2. Thiết bị bay (flycam, UAV, drone)</w:t>
            </w:r>
          </w:p>
        </w:tc>
        <w:tc>
          <w:tcPr>
            <w:tcW w:type="dxa" w:w="41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Có thể va chạm tàu bay đang cất cánh, hạ cánh ở độ cao thấp; pin, linh kiện làm hỏng động cơ, kính buồng lái; bay vào khu vực cần bảo vệ.</w:t>
            </w:r>
          </w:p>
        </w:tc>
        <w:tc>
          <w:tcPr>
            <w:tcW w:type="dxa" w:w="3638"/>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Chỉ bay ở nơi được phép, có người lớn hướng dẫn, thiết bị được đăng ký, cấp phép theo quy định; không bay gần sân bay.</w:t>
            </w:r>
          </w:p>
        </w:tc>
      </w:tr>
      <w:tr>
        <w:trPr>
          <w:cantSplit/>
        </w:trP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b/>
                <w:bCs/>
                <w:sz w:val="22"/>
                <w:szCs w:val="22"/>
              </w:rPr>
              <w:t xml:space="preserve">3. Đèn laser, đèn chiếu công suất lớn</w:t>
            </w:r>
          </w:p>
        </w:tc>
        <w:tc>
          <w:tcPr>
            <w:tcW w:type="dxa" w:w="41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Tia laser gây chói, lóa, mất tầm nhìn tạm thời của phi công lúc cất cánh, hạ cánh; đèn chiếu lên trời gây nhầm lẫn với đèn tín hiệu.</w:t>
            </w:r>
          </w:p>
        </w:tc>
        <w:tc>
          <w:tcPr>
            <w:tcW w:type="dxa" w:w="3638"/>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Không chiếu laser lên trời, vào người, phương tiện; không dùng laser công suất cao làm đồ chơi.</w:t>
            </w:r>
          </w:p>
        </w:tc>
      </w:tr>
    </w:tbl>
    <w:p>
      <w:pPr>
        <w:spacing w:after="30" w:before="40" w:line="252"/>
        <w:ind w:firstLine="567"/>
        <w:jc w:val="both"/>
      </w:pPr>
      <w:r>
        <w:rPr>
          <w:b/>
          <w:bCs/>
          <w:sz w:val="24"/>
          <w:szCs w:val="24"/>
        </w:rPr>
        <w:t xml:space="preserve">5 điều học sinh cần nhớ:</w:t>
      </w:r>
      <w:r>
        <w:rPr>
          <w:sz w:val="24"/>
          <w:szCs w:val="24"/>
        </w:rPr>
        <w:t xml:space="preserve"> (1) Gần sân bay không thả diều, bóng bay, đèn trời; (2) Thiết bị bay chỉ bay đúng nơi được phép; (3) Laser không phải đồ chơi; (4) Thấy nguy cơ báo ngay thầy cô, cha mẹ, Công an xã/phường hoặc gọi 113; (5) Chia sẻ điều đã học với gia đình, bạn bè.</w:t>
      </w:r>
    </w:p>
    <w:p>
      <w:pPr>
        <w:keepNext/>
        <w:spacing w:after="30" w:before="70" w:line="252"/>
        <w:jc w:val="both"/>
      </w:pPr>
      <w:r>
        <w:rPr>
          <w:b/>
          <w:bCs/>
          <w:sz w:val="24"/>
          <w:szCs w:val="24"/>
        </w:rPr>
        <w:t xml:space="preserve">V. KỊCH BẢN 30 PHÚT (GIỜ CHÀO CỜ – khung giờ ví dụ, điều chỉnh theo lịch của Nhà trường)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6038"/>
        <w:gridCol w:w="1900"/>
      </w:tblGrid>
      <w:tr>
        <w:trPr>
          <w:tblHeader/>
        </w:trPr>
        <w:tc>
          <w:tcPr>
            <w:tcW w:type="dxa" w:w="1700"/>
            <w:tcBorders>
              <w:top w:val="single" w:color="000000" w:sz="4"/>
              <w:left w:val="single" w:color="000000" w:sz="4"/>
              <w:bottom w:val="single" w:color="000000" w:sz="4"/>
              <w:right w:val="single" w:color="000000" w:sz="4"/>
            </w:tcBorders>
            <w:shd w:fill="D9E2F3" w:color="auto" w:val="clear"/>
            <w:tcMar>
              <w:top w:type="dxa" w:w="20"/>
              <w:left w:type="dxa" w:w="80"/>
              <w:bottom w:type="dxa" w:w="20"/>
              <w:right w:type="dxa" w:w="80"/>
            </w:tcMar>
            <w:vAlign w:val="center"/>
          </w:tcPr>
          <w:p>
            <w:pPr>
              <w:spacing w:after="40" w:before="0" w:line="264"/>
              <w:jc w:val="center"/>
            </w:pPr>
            <w:r>
              <w:rPr>
                <w:b/>
                <w:bCs/>
                <w:sz w:val="22"/>
                <w:szCs w:val="22"/>
              </w:rPr>
              <w:t xml:space="preserve">Thời gian</w:t>
            </w:r>
          </w:p>
        </w:tc>
        <w:tc>
          <w:tcPr>
            <w:tcW w:type="dxa" w:w="6038"/>
            <w:tcBorders>
              <w:top w:val="single" w:color="000000" w:sz="4"/>
              <w:left w:val="single" w:color="000000" w:sz="4"/>
              <w:bottom w:val="single" w:color="000000" w:sz="4"/>
              <w:right w:val="single" w:color="000000" w:sz="4"/>
            </w:tcBorders>
            <w:shd w:fill="D9E2F3" w:color="auto" w:val="clear"/>
            <w:tcMar>
              <w:top w:type="dxa" w:w="20"/>
              <w:left w:type="dxa" w:w="80"/>
              <w:bottom w:type="dxa" w:w="20"/>
              <w:right w:type="dxa" w:w="80"/>
            </w:tcMar>
            <w:vAlign w:val="center"/>
          </w:tcPr>
          <w:p>
            <w:pPr>
              <w:spacing w:after="40" w:before="0" w:line="264"/>
              <w:jc w:val="center"/>
            </w:pPr>
            <w:r>
              <w:rPr>
                <w:b/>
                <w:bCs/>
                <w:sz w:val="22"/>
                <w:szCs w:val="22"/>
              </w:rPr>
              <w:t xml:space="preserve">Nội dung</w:t>
            </w:r>
          </w:p>
        </w:tc>
        <w:tc>
          <w:tcPr>
            <w:tcW w:type="dxa" w:w="1900"/>
            <w:tcBorders>
              <w:top w:val="single" w:color="000000" w:sz="4"/>
              <w:left w:val="single" w:color="000000" w:sz="4"/>
              <w:bottom w:val="single" w:color="000000" w:sz="4"/>
              <w:right w:val="single" w:color="000000" w:sz="4"/>
            </w:tcBorders>
            <w:shd w:fill="D9E2F3" w:color="auto" w:val="clear"/>
            <w:tcMar>
              <w:top w:type="dxa" w:w="20"/>
              <w:left w:type="dxa" w:w="80"/>
              <w:bottom w:type="dxa" w:w="20"/>
              <w:right w:type="dxa" w:w="80"/>
            </w:tcMar>
            <w:vAlign w:val="center"/>
          </w:tcPr>
          <w:p>
            <w:pPr>
              <w:spacing w:after="40" w:before="0" w:line="264"/>
              <w:jc w:val="center"/>
            </w:pPr>
            <w:r>
              <w:rPr>
                <w:b/>
                <w:bCs/>
                <w:sz w:val="22"/>
                <w:szCs w:val="22"/>
              </w:rPr>
              <w:t xml:space="preserve">Phụ trách</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center"/>
            </w:pPr>
            <w:r>
              <w:rPr>
                <w:sz w:val="22"/>
                <w:szCs w:val="22"/>
              </w:rPr>
              <w:t xml:space="preserve">07g00 – 07g03</w:t>
            </w:r>
          </w:p>
        </w:tc>
        <w:tc>
          <w:tcPr>
            <w:tcW w:type="dxa" w:w="6038"/>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MC tuyên bố lý do, giới thiệu đại biểu và chương trình.</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MC BVOT &amp; MC học sinh</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center"/>
            </w:pPr>
            <w:r>
              <w:rPr>
                <w:sz w:val="22"/>
                <w:szCs w:val="22"/>
              </w:rPr>
              <w:t xml:space="preserve">07g03 – 07g06</w:t>
            </w:r>
          </w:p>
        </w:tc>
        <w:tc>
          <w:tcPr>
            <w:tcW w:type="dxa" w:w="6038"/>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Phát biểu của đại diện Ban Giám hiệu.</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Ban Giám hiệu</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center"/>
            </w:pPr>
            <w:r>
              <w:rPr>
                <w:sz w:val="22"/>
                <w:szCs w:val="22"/>
              </w:rPr>
              <w:t xml:space="preserve">07g06 – 07g18</w:t>
            </w:r>
          </w:p>
        </w:tc>
        <w:tc>
          <w:tcPr>
            <w:tcW w:type="dxa" w:w="6038"/>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Chuyên đề “Bầu trời đẹp và bình yên – cùng nhận diện các nguy cơ gần sân bay” (minh họa bằng tranh ảnh, standee khổ lớn).</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Báo cáo viên BVOT</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center"/>
            </w:pPr>
            <w:r>
              <w:rPr>
                <w:sz w:val="22"/>
                <w:szCs w:val="22"/>
              </w:rPr>
              <w:t xml:space="preserve">07g18 – 07g26</w:t>
            </w:r>
          </w:p>
        </w:tc>
        <w:tc>
          <w:tcPr>
            <w:tcW w:type="dxa" w:w="6038"/>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Hỏi đáp trực tiếp 6 – 8 câu (Phụ lục, Phần A); học sinh giơ tay trả lời, trả lời đúng nhận quà tại chỗ.</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BVOT</w:t>
            </w:r>
          </w:p>
        </w:tc>
      </w:tr>
      <w:tr>
        <w:trPr>
          <w:cantSplit/>
        </w:trPr>
        <w:tc>
          <w:tcPr>
            <w:tcW w:type="dxa" w:w="17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center"/>
            </w:pPr>
            <w:r>
              <w:rPr>
                <w:sz w:val="22"/>
                <w:szCs w:val="22"/>
              </w:rPr>
              <w:t xml:space="preserve">07g26 – 07g30</w:t>
            </w:r>
          </w:p>
        </w:tc>
        <w:tc>
          <w:tcPr>
            <w:tcW w:type="dxa" w:w="6038"/>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Toàn trường đồng thanh “5 điều học sinh cần nhớ”; thông báo khảo sát; tổng kết, chụp ảnh lưu niệm.</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vAlign w:val="top"/>
          </w:tcPr>
          <w:p>
            <w:pPr>
              <w:spacing w:after="40" w:before="0" w:line="264"/>
              <w:jc w:val="left"/>
            </w:pPr>
            <w:r>
              <w:rPr>
                <w:sz w:val="22"/>
                <w:szCs w:val="22"/>
              </w:rPr>
              <w:t xml:space="preserve">MC – BVOT &amp; Đoàn trường</w:t>
            </w:r>
          </w:p>
        </w:tc>
      </w:tr>
    </w:tbl>
    <w:p>
      <w:pPr>
        <w:keepNext/>
        <w:spacing w:after="30" w:before="70" w:line="252"/>
        <w:jc w:val="both"/>
      </w:pPr>
      <w:r>
        <w:rPr>
          <w:b/>
          <w:bCs/>
          <w:sz w:val="24"/>
          <w:szCs w:val="24"/>
        </w:rPr>
        <w:t xml:space="preserve">VI. KHẢO SÁT TẠI 03 LỚP ĐẠI DIỆN</w:t>
      </w:r>
    </w:p>
    <w:p>
      <w:pPr>
        <w:pStyle w:val="ListParagraph"/>
        <w:numPr>
          <w:ilvl w:val="0"/>
          <w:numId w:val="2"/>
        </w:numPr>
        <w:spacing w:after="10" w:before="0" w:line="252"/>
        <w:jc w:val="both"/>
      </w:pPr>
      <w:r>
        <w:rPr>
          <w:b/>
          <w:bCs/>
          <w:sz w:val="24"/>
          <w:szCs w:val="24"/>
        </w:rPr>
        <w:t xml:space="preserve">Hình thức:</w:t>
      </w:r>
      <w:r>
        <w:rPr>
          <w:sz w:val="24"/>
          <w:szCs w:val="24"/>
        </w:rPr>
        <w:t xml:space="preserve"> Học sinh quét mã QR trả lời phiếu khảo sát trên điện thoại (bộ câu hỏi tại Phụ lục – file riêng); cán bộ BVOT có mặt hướng dẫn, hỗ trợ.</w:t>
      </w:r>
    </w:p>
    <w:p>
      <w:pPr>
        <w:pStyle w:val="ListParagraph"/>
        <w:numPr>
          <w:ilvl w:val="0"/>
          <w:numId w:val="2"/>
        </w:numPr>
        <w:spacing w:after="10" w:before="0" w:line="252"/>
        <w:jc w:val="both"/>
      </w:pPr>
      <w:r>
        <w:rPr>
          <w:b/>
          <w:bCs/>
          <w:sz w:val="24"/>
          <w:szCs w:val="24"/>
        </w:rPr>
        <w:t xml:space="preserve">Bảo vệ dữ liệu:</w:t>
      </w:r>
      <w:r>
        <w:rPr>
          <w:sz w:val="24"/>
          <w:szCs w:val="24"/>
        </w:rPr>
        <w:t xml:space="preserve"> Không thu thập dữ liệu cá nhân; phiếu chỉ ghi khối lớp và mã số học sinh (nếu Nhà trường đồng ý) để xác định học sinh nhận quà; số liệu tổng hợp dưới dạng số liệu chung.</w:t>
      </w:r>
    </w:p>
    <w:p>
      <w:pPr>
        <w:pStyle w:val="ListParagraph"/>
        <w:numPr>
          <w:ilvl w:val="0"/>
          <w:numId w:val="2"/>
        </w:numPr>
        <w:spacing w:after="10" w:before="0" w:line="252"/>
        <w:jc w:val="both"/>
      </w:pPr>
      <w:r>
        <w:rPr>
          <w:b/>
          <w:bCs/>
          <w:sz w:val="24"/>
          <w:szCs w:val="24"/>
        </w:rPr>
        <w:t xml:space="preserve">Quà tặng:</w:t>
      </w:r>
      <w:r>
        <w:rPr>
          <w:sz w:val="24"/>
          <w:szCs w:val="24"/>
        </w:rPr>
        <w:t xml:space="preserve"> 03 học sinh trong mỗi lớp (tổng 09 học sinh) có bài khảo sát trả lời hợp lý nhất. Tiêu chí: (1) nhiều câu đúng Phần A nhất; (2) nếu bằng điểm, xét câu mở Phần C; (3) nếu vẫn bằng, nộp sớm hơn. Kết quả và báo cáo tóm tắt gửi Nhà trường trong 07 ngày làm việc.</w:t>
      </w:r>
    </w:p>
    <w:p>
      <w:pPr>
        <w:keepNext/>
        <w:spacing w:after="30" w:before="70" w:line="252"/>
        <w:jc w:val="both"/>
      </w:pPr>
      <w:r>
        <w:rPr>
          <w:b/>
          <w:bCs/>
          <w:sz w:val="24"/>
          <w:szCs w:val="24"/>
        </w:rPr>
        <w:t xml:space="preserve">VII. PHÂN CÔNG – KINH PHÍ – NGUYÊN TẮC PHỐI HỢP</w:t>
      </w:r>
    </w:p>
    <w:p>
      <w:pPr>
        <w:pStyle w:val="ListParagraph"/>
        <w:numPr>
          <w:ilvl w:val="0"/>
          <w:numId w:val="2"/>
        </w:numPr>
        <w:spacing w:after="10" w:before="0" w:line="252"/>
        <w:jc w:val="both"/>
      </w:pPr>
      <w:r>
        <w:rPr>
          <w:b/>
          <w:bCs/>
          <w:sz w:val="24"/>
          <w:szCs w:val="24"/>
        </w:rPr>
        <w:t xml:space="preserve">BVOT (chủ trì):</w:t>
      </w:r>
      <w:r>
        <w:rPr>
          <w:sz w:val="24"/>
          <w:szCs w:val="24"/>
        </w:rPr>
        <w:t xml:space="preserve"> Xây dựng nội dung, câu hỏi, phiếu khảo sát, mã QR (gửi Nhà trường duyệt trước ngày tổ chức 03 ngày làm việc); backdrop, standee, tranh ảnh, quà tặng; báo cáo viên, MC; hỗ trợ khảo sát; tổng hợp kết quả, trao quà.</w:t>
      </w:r>
    </w:p>
    <w:p>
      <w:pPr>
        <w:pStyle w:val="ListParagraph"/>
        <w:numPr>
          <w:ilvl w:val="0"/>
          <w:numId w:val="2"/>
        </w:numPr>
        <w:spacing w:after="10" w:before="0" w:line="252"/>
        <w:jc w:val="both"/>
      </w:pPr>
      <w:r>
        <w:rPr>
          <w:b/>
          <w:bCs/>
          <w:sz w:val="24"/>
          <w:szCs w:val="24"/>
        </w:rPr>
        <w:t xml:space="preserve">Nhà trường/Đoàn trường (phối hợp):</w:t>
      </w:r>
      <w:r>
        <w:rPr>
          <w:sz w:val="24"/>
          <w:szCs w:val="24"/>
        </w:rPr>
        <w:t xml:space="preserve"> Chọn ngày tổ chức, 03 lớp và thời gian khảo sát; tổ chức học sinh dự chào cờ, giữ trật tự, bố trí 01 MC học sinh; loa, micro, nguồn điện tại sân trường.</w:t>
      </w:r>
    </w:p>
    <w:p>
      <w:pPr>
        <w:pStyle w:val="ListParagraph"/>
        <w:numPr>
          <w:ilvl w:val="0"/>
          <w:numId w:val="2"/>
        </w:numPr>
        <w:spacing w:after="10" w:before="0" w:line="252"/>
        <w:jc w:val="both"/>
      </w:pPr>
      <w:r>
        <w:rPr>
          <w:b/>
          <w:bCs/>
          <w:sz w:val="24"/>
          <w:szCs w:val="24"/>
        </w:rPr>
        <w:t xml:space="preserve">Kinh phí:</w:t>
      </w:r>
      <w:r>
        <w:rPr>
          <w:sz w:val="24"/>
          <w:szCs w:val="24"/>
        </w:rPr>
        <w:t xml:space="preserve"> Toàn bộ do Ban tổ chức (BVOT) bảo đảm; Nhà trường, học sinh không phải chi trả.</w:t>
      </w:r>
    </w:p>
    <w:p>
      <w:pPr>
        <w:pStyle w:val="ListParagraph"/>
        <w:numPr>
          <w:ilvl w:val="0"/>
          <w:numId w:val="2"/>
        </w:numPr>
        <w:spacing w:after="10" w:before="0" w:line="252"/>
        <w:jc w:val="both"/>
      </w:pPr>
      <w:r>
        <w:rPr>
          <w:b/>
          <w:bCs/>
          <w:sz w:val="24"/>
          <w:szCs w:val="24"/>
        </w:rPr>
        <w:t xml:space="preserve">Nguyên tắc:</w:t>
      </w:r>
      <w:r>
        <w:rPr>
          <w:sz w:val="24"/>
          <w:szCs w:val="24"/>
        </w:rPr>
        <w:t xml:space="preserve"> Nhà trường quyết định cuối cùng về nội dung, hình ảnh và hoạt động trong khuôn viên trường; không bán hàng; không ảnh hưởng dạy và học; hình ảnh học sinh chỉ dùng khi có đồng ý của Nhà trường và của từng học sinh; mọi thay đổi cần Nhà trường chấp thuận.</w:t>
      </w:r>
    </w:p>
    <w:p>
      <w:pPr>
        <w:keepNext/>
        <w:spacing w:after="30" w:before="40" w:line="252"/>
        <w:ind w:firstLine="567"/>
        <w:jc w:val="both"/>
      </w:pPr>
      <w:r>
        <w:rPr>
          <w:sz w:val="24"/>
          <w:szCs w:val="24"/>
        </w:rPr>
        <w:t xml:space="preserve">Kính đề nghị Ban Giám hiệu xem xét, thống nhất các nội dung trên. Trân trọng cảm ơn./.</w:t>
      </w:r>
    </w:p>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4300"/>
        <w:gridCol w:w="5055"/>
      </w:tblGrid>
      <w:tr>
        <w:trPr>
          <w:cantSplit/>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88"/>
              <w:jc w:val="left"/>
            </w:pPr>
            <w:r>
              <w:rPr>
                <w:b/>
                <w:bCs/>
                <w:i/>
                <w:iCs/>
                <w:sz w:val="24"/>
                <w:szCs w:val="24"/>
              </w:rPr>
              <w:t xml:space="preserve">Nơi nhận:</w:t>
            </w:r>
          </w:p>
          <w:p>
            <w:pPr>
              <w:spacing w:after="0" w:before="0" w:line="288"/>
              <w:jc w:val="left"/>
            </w:pPr>
            <w:r>
              <w:rPr>
                <w:sz w:val="22"/>
                <w:szCs w:val="22"/>
              </w:rPr>
              <w:t xml:space="preserve">- Ban Giám hiệu Trường THPT Trung Giã, Sóc Sơn, Hà Nội;</w:t>
            </w:r>
          </w:p>
          <w:p>
            <w:pPr>
              <w:spacing w:after="0" w:before="0" w:line="288"/>
              <w:jc w:val="left"/>
            </w:pPr>
            <w:r>
              <w:rPr>
                <w:sz w:val="22"/>
                <w:szCs w:val="22"/>
              </w:rPr>
              <w:t xml:space="preserve">- Lưu: VT.</w:t>
            </w:r>
          </w:p>
        </w:tc>
        <w:tc>
          <w:tcPr>
            <w:tcW w:type="dxa" w:w="5055"/>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76"/>
              <w:jc w:val="center"/>
            </w:pPr>
            <w:r>
              <w:rPr>
                <w:b/>
                <w:bCs/>
                <w:sz w:val="26"/>
                <w:szCs w:val="26"/>
              </w:rPr>
              <w:t xml:space="preserve">CÔNG TY TNHH BVOT GROUP</w:t>
            </w:r>
          </w:p>
          <w:p>
            <w:pPr>
              <w:spacing w:after="0" w:before="0" w:line="276"/>
              <w:jc w:val="center"/>
            </w:pPr>
            <w:r>
              <w:rPr>
                <w:b/>
                <w:bCs/>
                <w:sz w:val="26"/>
                <w:szCs w:val="26"/>
              </w:rPr>
              <w:t xml:space="preserve">GIÁM ĐỐC</w:t>
            </w:r>
          </w:p>
          <w:p>
            <w:pPr>
              <w:spacing w:after="0" w:before="0" w:line="276"/>
              <w:jc w:val="center"/>
            </w:pPr>
            <w:r>
              <w:rPr>
                <w:i/>
                <w:iCs/>
                <w:sz w:val="24"/>
                <w:szCs w:val="24"/>
              </w:rPr>
              <w:t xml:space="preserve">(Ký, ghi rõ họ tên và đóng dấu)</w:t>
            </w:r>
          </w:p>
          <w:p>
            <w:pPr>
              <w:spacing w:after="0" w:before="0" w:line="276"/>
              <w:jc w:val="center"/>
            </w:pPr>
            <w:r>
              <w:t xml:space="preserve"> </w:t>
            </w:r>
          </w:p>
          <w:p>
            <w:pPr>
              <w:spacing w:after="0" w:before="0" w:line="276"/>
              <w:jc w:val="center"/>
            </w:pPr>
            <w:r>
              <w:t xml:space="preserve"> </w:t>
            </w:r>
          </w:p>
          <w:p>
            <w:pPr>
              <w:spacing w:after="0" w:before="0" w:line="276"/>
              <w:jc w:val="center"/>
            </w:pPr>
            <w:r>
              <w:t xml:space="preserve"> </w:t>
            </w:r>
          </w:p>
          <w:p>
            <w:pPr>
              <w:spacing w:after="0" w:before="0" w:line="276"/>
              <w:jc w:val="center"/>
            </w:pPr>
            <w:r>
              <w:t xml:space="preserve"> </w:t>
            </w:r>
          </w:p>
          <w:p>
            <w:pPr>
              <w:spacing w:after="0" w:before="0" w:line="276"/>
              <w:jc w:val="center"/>
            </w:pPr>
            <w:r>
              <w:rPr>
                <w:b/>
                <w:bCs/>
                <w:sz w:val="26"/>
                <w:szCs w:val="26"/>
              </w:rPr>
              <w:t xml:space="preserve">Trần Hồng Ninh</w:t>
            </w:r>
          </w:p>
        </w:tc>
      </w:tr>
    </w:tbl>
    <w:sectPr>
      <w:footerReference w:type="default" r:id="rId6"/>
      <w:pgSz w:w="11906" w:h="16838" w:orient="portrait"/>
      <w:pgMar w:top="794" w:right="850" w:bottom="79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851" w:hanging="284"/>
      </w:pPr>
    </w:lvl>
  </w:abstractNum>
  <w:abstractNum w:abstractNumId="3" w15:restartNumberingAfterBreak="0">
    <w:multiLevelType w:val="hybridMultilevel"/>
    <w:lvl w:ilvl="0" w:tentative="1">
      <w:start w:val="1"/>
      <w:numFmt w:val="bullet"/>
      <w:lvlText w:val="+"/>
      <w:lvlJc w:val="left"/>
      <w:pPr>
        <w:ind w:left="1135"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chương trình Vùng trời bình yên – THPT</dc:title>
  <dc:creator>Công ty TNHH BVOT GROUP</dc:creator>
  <cp:lastModifiedBy>Un-named</cp:lastModifiedBy>
  <cp:revision>1</cp:revision>
  <dcterms:created xsi:type="dcterms:W3CDTF">2026-09-29T08:24:35.840Z</dcterms:created>
  <dcterms:modified xsi:type="dcterms:W3CDTF">2026-09-29T08:24:35.840Z</dcterms:modified>
</cp:coreProperties>
</file>

<file path=docProps/custom.xml><?xml version="1.0" encoding="utf-8"?>
<Properties xmlns="http://schemas.openxmlformats.org/officeDocument/2006/custom-properties" xmlns:vt="http://schemas.openxmlformats.org/officeDocument/2006/docPropsVTypes"/>
</file>