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Nonconformance Report (NCR)</w:t>
      </w:r>
    </w:p>
    <w:p>
      <w:r>
        <w:t>Raise a Nonconformance Report (NCR) when product does not meet specification. Quarantine the affected parts in the red NCR bin. Only Quality may decide disposition - operators must not use-as-is on their own.</w:t>
      </w:r>
    </w:p>
    <w:p>
      <w:pPr>
        <w:pStyle w:val="Heading1"/>
      </w:pPr>
      <w:r>
        <w:t>Nonconformance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NCR no.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Part number /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Lot / batch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Quantity affected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Raised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Operation / machine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Description of nonconformance</w:t>
      </w:r>
    </w:p>
    <w:p>
      <w:r>
        <w:t>Feature / dimension out of spec, with measured vs required value: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Required (spec)</w:t>
            </w:r>
          </w:p>
        </w:tc>
        <w:tc>
          <w:tcPr>
            <w:tcW w:type="dxa" w:w="2160"/>
          </w:tcPr>
          <w:p>
            <w:r>
              <w:t>Measured</w:t>
            </w:r>
          </w:p>
        </w:tc>
        <w:tc>
          <w:tcPr>
            <w:tcW w:type="dxa" w:w="2160"/>
          </w:tcPr>
          <w:p>
            <w:r>
              <w:t>Gauge / CAL ID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Disposition (Quality use only)</w:t>
      </w:r>
    </w:p>
    <w:p>
      <w:r>
        <w:t>[ ] Rework   [ ] Scrap   [ ] Use-as-is (concession)   [ ] Return to supplier</w:t>
      </w:r>
    </w:p>
    <w:p>
      <w:r>
        <w:t>Root cause: ____________________   Corrective action: ____________________</w:t>
      </w:r>
    </w:p>
    <w:p>
      <w:r>
        <w:t>Quality Engineer: ____________________  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