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Incident Report</w:t>
      </w:r>
    </w:p>
    <w:p>
      <w:r>
        <w:t>Complete this form for every injury, near-miss, spill, or unsafe condition. Reporting is blameless and helps prevent recurrence. Submit to the Safety Officer (ext. 4911) within 24 hours.</w:t>
      </w:r>
    </w:p>
    <w:p>
      <w:pPr>
        <w:pStyle w:val="Heading1"/>
      </w:pPr>
      <w:r>
        <w:t>Incident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&amp; 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Location / area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People involved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Type (Injury / Near-miss / Spill / Other)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Equipment involved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What happened</w:t>
      </w:r>
    </w:p>
    <w:p>
      <w:r>
        <w:t>Describe the sequence of events, including any alarm or energy source: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pStyle w:val="Heading1"/>
      </w:pPr>
      <w:r>
        <w:t>Immediate action taken</w:t>
      </w:r>
    </w:p>
    <w:p>
      <w:r>
        <w:t>(First aid, LOTO, spill containment, evacuation, etc.)</w:t>
      </w:r>
    </w:p>
    <w:p>
      <w:r>
        <w:t>_______________________________________________________________</w:t>
      </w:r>
    </w:p>
    <w:p>
      <w:pPr>
        <w:pStyle w:val="Heading1"/>
      </w:pPr>
      <w:r>
        <w:t>Follow-up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Corrective action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Safety Officer sign-off: 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