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spacing w:before="180" w:after="280"/>
        <w:jc w:val="center"/>
      </w:pPr>
      <w:r>
        <w:t>面向 PYNQ Z2 的 ML KEM 1024</w:t>
        <w:br/>
        <w:t>软硬件协同加速系统</w:t>
      </w:r>
    </w:p>
    <w:p>
      <w:pPr>
        <w:pStyle w:val="Subtitle"/>
        <w:jc w:val="center"/>
      </w:pPr>
      <w:r>
        <w:t>竞赛技术报告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版本日期  2026 年 10 月 24 日    测量日期  2026 年 10 月 23 日</w:t>
      </w:r>
    </w:p>
    <w:p>
      <w:pPr>
        <w:pStyle w:val="3"/>
      </w:pPr>
      <w:r>
        <w:t>摘要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面向资源受限 FPGA 上的后量子密码实现，本项目在 PYNQ-Z2 上构建了 ML-KEM-1024（K=4）软硬件协同系统。完整算法运行于 PL 内的 PicoRV32 RV32IM-fast 软核，Keccak/SHAKE 运算通过独立 FIPS 202 provider 卸载至 HLS 加速器。PS 端利用 AXI4-Lite、共享 RAM 和 Jupyter 完成固件装载、测试调度与结果核对。设计保留标准算法流程，将优化重点放在高调用量服务、32-bit 数据打包、上下文续取以及接口与时序实现。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在同一开发板、同一 100 MHz bitstream、128 KiB RAM 和 32 KiB 栈条件下，分别切换 CPU-only 与 CPU+Keccak 固件，两组各通过 145 条公开官方测试记录。完整 API 周期由 1,699,293,290 降至 446,852,439，实测加速 3.8028 倍；计入 PS 上传、轮询、读回和校验后，整批墙钟由 22.135 s 降至 9.634 s，仍取得 2.2976 倍收益。代表操作的 60 次重复和六项限定恢复检查全部通过。完整 PS–PL 实现使用 19,759 LUT、17,585 FF、34.5 BRAM36 等效和 4 DSP，在 100 MHz 约束下完成时序签核。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本项目的贡献在于把局部密码运算优化落实为可测量、可复现的完整 ML-KEM 系统，并区分 API、硬件活动及主机事务的计时边界。现有结果支持资源受限平台上的硬件服务卸载与工程验证价值；比较对象为 PL RISC-V 软件，尚不涵盖 PS ARM 优化软件、板级功耗或产品级安全认证。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关键词：后量子密码；ML-KEM-1024；Keccak；HLS；软硬件协同；实板验证</w:t>
      </w:r>
    </w:p>
    <w:p>
      <w:pPr>
        <w:pStyle w:val="3"/>
      </w:pPr>
      <w:r>
        <w:t>报告阅读说明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0"/>
        </w:rPr>
        <w:t>第一部分说明作品用途与主要结果；第二部分给出模块关系、接口和验证方法；第三部分呈现实板证据、性能与资源；第四部分讨论工程价值、限制和扩展；第五部分列出参考资料。全部测试数据来自已归档记录。照片与界面截图的预留位置均明确标识，不以示意图替代实物成果。</w:t>
      </w:r>
    </w:p>
    <w:p>
      <w:pPr>
        <w:pStyle w:val="2"/>
        <w:pageBreakBefore/>
      </w:pPr>
      <w:r>
        <w:t>第一部分 作品概述</w:t>
      </w:r>
    </w:p>
    <w:p>
      <w:pPr>
        <w:pStyle w:val="3"/>
      </w:pPr>
      <w:r>
        <w:t>设计背景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FIPS 203 已将 ML-KEM 标准化[1]。面向量子计算对传统公钥密码体系的威胁，边缘平台需要评估后量子算法的计算与存储代价。本项目研究如何在商用 FPGA 上通过可复用硬件服务降低完整 KEM 延迟，同时保留软件可编程性和可审计接口。</w:t>
      </w:r>
    </w:p>
    <w:p>
      <w:pPr>
        <w:pStyle w:val="3"/>
      </w:pPr>
      <w:r>
        <w:t>功能与特性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作品实现 ML-KEM-1024 的密钥生成、封装、解封装及密钥检查，支持有效输入、无效密钥和隐式拒绝相关测试。用户在 Jupyter 中选择软件或加速固件，执行代表用例或全量回归；系统返回官方输出比对结果、API 周期、硬件计数和原始 JSON。运行前核对 bitstream、固件与向量身份，固件在 CPU 复位下写入完整 RAM 并读回校验。</w:t>
      </w:r>
    </w:p>
    <w:p>
      <w:pPr>
        <w:pStyle w:val="3"/>
      </w:pPr>
      <w:r>
        <w:t>应用领域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ML-KEM 是用于建立共享秘密的密钥封装机制，可作为安全通信握手的密码组件[1]。K=4 表示算法的模块维度，对应 ML-KEM-1024 与 NIST 安全类别 5；公钥、私钥、密文分别为 1568、3168、1568 B，共享秘密为 32 B。该原型面向边缘设备密码协处理研究、可重构安全计算教学和竞赛演示。当前没有实现 TLS、证书认证和会话密钥生命周期，应用边界为密码本原及其调度验证。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004119"/>
            <wp:docPr id="1" name="Picture 1" descr="图 1  ML-KEM 的输入输出关系与应用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em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0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1  ML-KEM 的输入输出关系与应用边界</w:t>
      </w:r>
    </w:p>
    <w:p>
      <w:pPr>
        <w:pStyle w:val="3"/>
      </w:pPr>
      <w:r>
        <w:t>主要技术特点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完整 KEM 流程保留在可编程软核中，统一卸载 SHA3-256/512 与 SHAKE128/256；HLS 采用 25-lane 状态分区和单轮复用，保持密码运算逐位精确。BRAM 数据缓冲与 MMIO 控制分离，SHAKE 通过上下文支持续取。PS–PL 层提供运行所有权、复位、状态与性能计数，两个 Tcl 入口分别管理主流程和 Block Design，兼顾可观察性与复现。</w:t>
      </w:r>
    </w:p>
    <w:p>
      <w:pPr>
        <w:pStyle w:val="2"/>
        <w:pageBreakBefore/>
      </w:pPr>
      <w:r>
        <w:t>作品指标与设计流程</w:t>
      </w:r>
    </w:p>
    <w:p>
      <w:pPr>
        <w:pStyle w:val="3"/>
      </w:pPr>
      <w:r>
        <w:t>主要性能指标</w:t>
      </w:r>
    </w:p>
    <w:p>
      <w:pPr>
        <w:pStyle w:val="Caption"/>
        <w:keepNext/>
        <w:spacing w:after="80"/>
      </w:pPr>
      <w:r>
        <w:t>表 1  作品主要性能指标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665"/>
        <w:gridCol w:w="3146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66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已测结果</w:t>
            </w:r>
          </w:p>
        </w:tc>
        <w:tc>
          <w:tcPr>
            <w:tcW w:type="dxa" w:w="314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测量口径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官方记录验证</w:t>
            </w:r>
          </w:p>
        </w:tc>
        <w:tc>
          <w:tcPr>
            <w:tcW w:type="dxa" w:w="266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两组各 145/145</w:t>
            </w:r>
          </w:p>
        </w:tc>
        <w:tc>
          <w:tcPr>
            <w:tcW w:type="dxa" w:w="314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同板双固件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完整 API 加速</w:t>
            </w:r>
          </w:p>
        </w:tc>
        <w:tc>
          <w:tcPr>
            <w:tcW w:type="dxa" w:w="266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3.8028×</w:t>
            </w:r>
          </w:p>
        </w:tc>
        <w:tc>
          <w:tcPr>
            <w:tcW w:type="dxa" w:w="314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原始周期总和之比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PS 整批加速</w:t>
            </w:r>
          </w:p>
        </w:tc>
        <w:tc>
          <w:tcPr>
            <w:tcW w:type="dxa" w:w="266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2.2976×</w:t>
            </w:r>
          </w:p>
        </w:tc>
        <w:tc>
          <w:tcPr>
            <w:tcW w:type="dxa" w:w="314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22.135 s → 9.634 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系统时钟</w:t>
            </w:r>
          </w:p>
        </w:tc>
        <w:tc>
          <w:tcPr>
            <w:tcW w:type="dxa" w:w="266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 MHz</w:t>
            </w:r>
          </w:p>
        </w:tc>
        <w:tc>
          <w:tcPr>
            <w:tcW w:type="dxa" w:w="314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实现签核与板上运行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逻辑与存储</w:t>
            </w:r>
          </w:p>
        </w:tc>
        <w:tc>
          <w:tcPr>
            <w:tcW w:type="dxa" w:w="266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19,759 LUT / 34.5 BRAM36</w:t>
            </w:r>
          </w:p>
        </w:tc>
        <w:tc>
          <w:tcPr>
            <w:tcW w:type="dxa" w:w="314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完整 PS–PL 实现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重复与恢复</w:t>
            </w:r>
          </w:p>
        </w:tc>
        <w:tc>
          <w:tcPr>
            <w:tcW w:type="dxa" w:w="266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 次 / 6 项通过</w:t>
            </w:r>
          </w:p>
        </w:tc>
        <w:tc>
          <w:tcPr>
            <w:tcW w:type="dxa" w:w="314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固定输入与限定路径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pStyle w:val="3"/>
      </w:pPr>
      <w:r>
        <w:t>主要创新点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一是面向完整 KEM 工作负载，选择可复用的 Keccak 服务卸载并保留标准软件路径；二是将 32-bit 打包、SHAKE 上下文与软核接口协同设计；三是用同板同 bitstream 双固件与分层计时验证净收益，形成从官方输入到实板原始记录的可追溯链路。上述贡献属于系统集成与工程方法，不主张新的密码算法。</w:t>
      </w:r>
    </w:p>
    <w:p>
      <w:pPr>
        <w:pStyle w:val="3"/>
      </w:pPr>
      <w:r>
        <w:t>设计流程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先冻结软件、输入与计时边界，再验证独立 HLS 功能、CPU 接口和官方 RTL 输出；完成资源与时序签核后接入 PS–PL，并在同板条件下切换两种固件。日常迭代使用代表子集，稳定版本执行全量验收，失败记录与历史结果分开保留。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004119"/>
            <wp:docPr id="2" name="Picture 2" descr="图 2  从软件基线到实板配对验收的设计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ig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0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2  从软件基线到实板配对验收的设计流程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历史路线对照：K=2 的细粒度 BaseMul 方案端到端约 0.9930×。该负结果促使项目转向高调用量服务及接口协同优化；其参数与实现不同，不用作 K=4 的同条件消融。</w:t>
      </w:r>
    </w:p>
    <w:p>
      <w:pPr>
        <w:pStyle w:val="2"/>
        <w:pageBreakBefore/>
      </w:pPr>
      <w:r>
        <w:t>第二部分 系统组成及功能说明</w:t>
      </w:r>
    </w:p>
    <w:p>
      <w:pPr>
        <w:pStyle w:val="3"/>
      </w:pPr>
      <w:r>
        <w:t>整体架构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系统由 PS 主机控制、PL 软件执行与 Keccak 硬件服务三层组成。PS 负责装载、调度和核对；完整 ML-KEM 软件实际运行于 PL 的 PicoRV32 RISC-V 软核[5]。PS 的 AXI 主口先接自写包装层，CPU 再经另一地址空间访问 Keccak adapter，二者是分层控制与计算接口。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术语：PS 是芯片中的 ARM 处理系统；PL 是可配置的逻辑电路区域；HLS 将 C++ 运算描述综合为硬件。加速器在 PL 内配合软核执行，Jupyter 提供操作与展示界面。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3955500"/>
            <wp:docPr id="3" name="Picture 3" descr="图 3  PS 主机与 PL 软硬件协同系统总体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5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3  PS 主机与 PL 软硬件协同系统总体框图</w:t>
      </w:r>
    </w:p>
    <w:p>
      <w:pPr>
        <w:pStyle w:val="Caption"/>
        <w:keepNext/>
        <w:spacing w:after="80"/>
      </w:pPr>
      <w:r>
        <w:t>表 2  系统模块职责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42"/>
        <w:gridCol w:w="280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74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承担任务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实现形式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PS 主机</w:t>
            </w:r>
          </w:p>
        </w:tc>
        <w:tc>
          <w:tcPr>
            <w:tcW w:type="dxa" w:w="374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固件切换、输入输出核对、展示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Python / Jupyter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算法执行</w:t>
            </w:r>
          </w:p>
        </w:tc>
        <w:tc>
          <w:tcPr>
            <w:tcW w:type="dxa" w:w="374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NTT、多项式、采样、压缩及 API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PicoRV32 上的 C 固件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密码服务</w:t>
            </w:r>
          </w:p>
        </w:tc>
        <w:tc>
          <w:tcPr>
            <w:tcW w:type="dxa" w:w="374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FIPS 202 哈希与可扩展输出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HLS C++ 生成 RTL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接口与存储</w:t>
            </w:r>
          </w:p>
        </w:tc>
        <w:tc>
          <w:tcPr>
            <w:tcW w:type="dxa" w:w="374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AXI、MMIO、RAM、状态和计数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自写 RTL / FPGA BRAM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pStyle w:val="2"/>
        <w:pageBreakBefore/>
      </w:pPr>
      <w:r>
        <w:t>Keccak 硬件服务与 HLS 结构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ML-KEM 调用 FIPS 202 中的哈希和可扩展输出函数[2]。本项目将这组函数收敛为共享服务，不复制四个 Keccak 核；软件中的 x4 接口映射为四条独立流的串行调用和分别保存的上下文。每条 64-bit lane 保持完整精度，不进行有损定点化或密码状态截断。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900700"/>
            <wp:docPr id="4" name="Picture 4" descr="图 4  HLS 加速器的吸收 置换 输出与上下文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ecca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4  HLS 加速器的吸收 置换 输出与上下文关系</w:t>
      </w:r>
    </w:p>
    <w:p>
      <w:pPr>
        <w:pStyle w:val="Caption"/>
        <w:keepNext/>
        <w:spacing w:after="80"/>
      </w:pPr>
      <w:r>
        <w:t>表 3  HLS 结构与设计取舍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288"/>
        <w:gridCol w:w="348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结构选择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具体实现</w:t>
            </w:r>
          </w:p>
        </w:tc>
        <w:tc>
          <w:tcPr>
            <w:tcW w:type="dxa" w:w="348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目的与代价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置换结构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 lane 分区；单轮复用 24 轮</w:t>
            </w:r>
          </w:p>
        </w:tc>
        <w:tc>
          <w:tcPr>
            <w:tcW w:type="dxa" w:w="348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避免展开全部 24 轮的资源增长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输入输出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 rate 分块；32-bit 打包</w:t>
            </w:r>
          </w:p>
        </w:tc>
        <w:tc>
          <w:tcPr>
            <w:tcW w:type="dxa" w:w="348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减少逐字节访存与变量取模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状态续取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HASH / SQUEEZE / CLEAR</w:t>
            </w:r>
          </w:p>
        </w:tc>
        <w:tc>
          <w:tcPr>
            <w:tcW w:type="dxa" w:w="348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支持拒绝采样；需保存恢复上下文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容量边界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输入 2048 B；单次输出 4096 B</w:t>
            </w:r>
          </w:p>
        </w:tc>
        <w:tc>
          <w:tcPr>
            <w:tcW w:type="dxa" w:w="348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覆盖当前调用形状；非通用无限长消息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0"/>
        </w:rPr>
        <w:t>独立 C 仿真和 Verilog 协同仿真各覆盖 109 笔本地差分事务，包括 74 个 HASH 向量、分段输出、交错上下文、边界、清除和错误调用。优化配置的协同仿真总周期由 1,314,553 降至 75,280，局部比值 17.462×。该计数含生成驱动的控制操作，不是纯置换周期，也不能替代完整 KEM 的 3.8028× 实板结果。</w:t>
      </w:r>
    </w:p>
    <w:p>
      <w:pPr>
        <w:pStyle w:val="2"/>
        <w:pageBreakBefore/>
      </w:pPr>
      <w:r>
        <w:t>RTL 接口与存储组织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267820"/>
            <wp:docPr id="5" name="Picture 5" descr="图 5  PS 物理地址与 CPU 内部 MMIO 的分层映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6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5  PS 物理地址与 CPU 内部 MMIO 的分层映射</w:t>
      </w:r>
    </w:p>
    <w:p>
      <w:pPr>
        <w:pStyle w:val="3"/>
      </w:pPr>
      <w:r>
        <w:t>外部 AXI 与 RAM 所有权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PS7 的 M_AXI_GP0 经 AXI Interconnect 接自写 32-bit AXI4-Lite slave[7]。映射窗口为 256 KiB，其中低 128 KiB 为 CPU RAM；输入和输出邮箱各占 8 KiB，属于这片 RAM。PS 仅在 CPU 复位时可写 RAM，在复位或完成、失败态可读，运行期间避免主机改写活动固件。数据以单事务 MMIO 交换，未采用 DMA 或零拷贝。</w:t>
      </w:r>
    </w:p>
    <w:p>
      <w:pPr>
        <w:pStyle w:val="3"/>
      </w:pPr>
      <w:r>
        <w:t>CPU 到 HLS 的控制与缓冲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PicoRV32 原生总线访问 MMIO adapter，adapter 将控制操作桥接为 HLS AXI-Lite，将数据访问映射到 BRAM。busy 期间缓冲归 HLS 所有；CPU 的冲突访问不写存储并置错。状态包括 busy、done、error；计数分别记录启动、busy 周期和 32-bit 缓冲读写事务。复位不自动擦除 BRAM，软件必须初始化使用的输入和上下文。</w:t>
      </w:r>
    </w:p>
    <w:p>
      <w:pPr>
        <w:pStyle w:val="Caption"/>
        <w:keepNext/>
        <w:spacing w:after="80"/>
      </w:pPr>
      <w:r>
        <w:t>表 4  CPU 与加速器接口约定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685"/>
        <w:gridCol w:w="3090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68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约定</w:t>
            </w:r>
          </w:p>
        </w:tc>
        <w:tc>
          <w:tcPr>
            <w:tcW w:type="dxa" w:w="309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验证或安全边界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返回值</w:t>
            </w:r>
          </w:p>
        </w:tc>
        <w:tc>
          <w:tcPr>
            <w:tcW w:type="dxa" w:w="368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 成功；参数与上下文错误独立返回</w:t>
            </w:r>
          </w:p>
        </w:tc>
        <w:tc>
          <w:tcPr>
            <w:tcW w:type="dxa" w:w="309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输出及返回码逐条核对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上下文</w:t>
            </w:r>
          </w:p>
        </w:tc>
        <w:tc>
          <w:tcPr>
            <w:tcW w:type="dxa" w:w="368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 × 64-bit；CPU 以 52 个 word 访问</w:t>
            </w:r>
          </w:p>
        </w:tc>
        <w:tc>
          <w:tcPr>
            <w:tcW w:type="dxa" w:w="309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调用方隔离与清除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命令互斥</w:t>
            </w:r>
          </w:p>
        </w:tc>
        <w:tc>
          <w:tcPr>
            <w:tcW w:type="dxa" w:w="368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busy 时禁止重复启动与改缓冲</w:t>
            </w:r>
          </w:p>
        </w:tc>
        <w:tc>
          <w:tcPr>
            <w:tcW w:type="dxa" w:w="309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不代表任意故障均可恢复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数据端序</w:t>
            </w:r>
          </w:p>
        </w:tc>
        <w:tc>
          <w:tcPr>
            <w:tcW w:type="dxa" w:w="368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little-endian 32-bit 打包</w:t>
            </w:r>
          </w:p>
        </w:tc>
        <w:tc>
          <w:tcPr>
            <w:tcW w:type="dxa" w:w="309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尾 word 高位按接口规则清零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标准库状态与 HLS 上下文的布局不同，不能直接强制类型转换。CLEAR 清上下文，不应据此声称全部数据 BRAM 已完成密码级擦除。</w:t>
      </w:r>
    </w:p>
    <w:p>
      <w:pPr>
        <w:pStyle w:val="2"/>
        <w:pageBreakBefore/>
      </w:pPr>
      <w:r>
        <w:t>软件组织与单次执行流程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算法采用固定提交的 mlkem-native portable C[4]，不改写其密码算法。CPU-only 固件使用软件 FIPS 202；加速固件通过 provider 替换该服务且不链接软件 Keccak。NTT、多项式、采样、压缩和封装解封装控制仍由软核执行。测试使用确定性官方输入，未测量实时熵源。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3428100"/>
            <wp:docPr id="6" name="Picture 6" descr="图 6  从 Jupyter 调度到官方结果核对的事务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ansa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42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6  从 Jupyter 调度到官方结果核对的事务顺序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驱动首先检查 bit/hwh、固件与向量哈希，在 CPU 复位时写入完整 128 KiB RAM，再读回核对。每个用例清理邮箱、写入参数和数据后释放 CPU；固件执行 API 并提交返回值、输出和周期。主机轮询结束状态、读回结果并逐字节核对官方期望。SHAKE 续取由 provider 恢复对应流的上下文，再向硬件请求后续字节。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驱动兼容本次板卡的 Python 3.6.5。Notebook 可正常保存，不把用户可编辑的输出单元当成不可变证据；验收以原始 JSON、绑定的驱动版本与离线复核为准。</w:t>
      </w:r>
    </w:p>
    <w:p>
      <w:pPr>
        <w:pStyle w:val="2"/>
        <w:pageBreakBefore/>
      </w:pPr>
      <w:r>
        <w:t>分层验证与可复现构建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373300"/>
            <wp:docPr id="7" name="Picture 7" descr="图 7  独立参考 实现签核与实板证据之间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erif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7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7  独立参考 实现签核与实板证据之间的关系</w:t>
      </w:r>
    </w:p>
    <w:p>
      <w:pPr>
        <w:pStyle w:val="Caption"/>
        <w:keepNext/>
        <w:spacing w:after="80"/>
      </w:pPr>
      <w:r>
        <w:t>表 5  分层验证结果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288"/>
        <w:gridCol w:w="3543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354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已有证据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标准软件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三个参数集的官方输出</w:t>
            </w:r>
          </w:p>
        </w:tc>
        <w:tc>
          <w:tcPr>
            <w:tcW w:type="dxa" w:w="354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主机共 435 条记录通过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 HLS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FIPS 202 函数与上下文</w:t>
            </w:r>
          </w:p>
        </w:tc>
        <w:tc>
          <w:tcPr>
            <w:tcW w:type="dxa" w:w="354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109 笔 C / RTL 差分事务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CPU 与 RTL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真实服务调用及完整 K4 输出</w:t>
            </w:r>
          </w:p>
        </w:tc>
        <w:tc>
          <w:tcPr>
            <w:tcW w:type="dxa" w:w="354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冻结核心 145 条通过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系统实现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资源 路由 时序与约束</w:t>
            </w:r>
          </w:p>
        </w:tc>
        <w:tc>
          <w:tcPr>
            <w:tcW w:type="dxa" w:w="354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PS–PL 实现签核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实板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两模式官方输出与性能</w:t>
            </w:r>
          </w:p>
        </w:tc>
        <w:tc>
          <w:tcPr>
            <w:tcW w:type="dxa" w:w="354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各 145 条 60 次重复 6 项恢复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离线复核</w:t>
            </w:r>
          </w:p>
        </w:tc>
        <w:tc>
          <w:tcPr>
            <w:tcW w:type="dxa" w:w="328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输入身份 哈希 输出 计数与汇总</w:t>
            </w:r>
          </w:p>
        </w:tc>
        <w:tc>
          <w:tcPr>
            <w:tcW w:type="dxa" w:w="354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INDEPENDENT_PAIRED_CHECK_PASS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工具基线为 Vivado / Vitis HLS 2024.2[6–8]、RISC-V 工具链和 Python 3。主线入口 flow.tcl 以顶部开关管理 HLS、CPU 测试和独立 PL 阶段；bd_axi.tcl 管理 Block Design、AXI 验证、综合实现与导出。源码路径相对仓库定位，生成目录独立；遇到 AMD 长路径限制时用可配置短构建区，不改写历史证据。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0"/>
        </w:rPr>
        <w:t>每次验收固定源码、TB、固件、向量、bit/hwh 与配置身份。历史报告保留原始字节，目录整理或新实板测量不会反写旧哈希；发布 manifest 的历史状态与后续实板记录分别保存。这样可以追问每个结论由哪一组输入、哪一个实现和哪一次运行支持。</w:t>
      </w:r>
    </w:p>
    <w:p>
      <w:pPr>
        <w:pStyle w:val="2"/>
        <w:pageBreakBefore/>
      </w:pPr>
      <w:r>
        <w:t>第三部分 完成情况及性能参数</w:t>
      </w:r>
    </w:p>
    <w:p>
      <w:pPr>
        <w:pStyle w:val="3"/>
      </w:pPr>
      <w:r>
        <w:t>实物与部署成果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0"/>
        </w:rPr>
        <w:t>已完成商用 PYNQ-Z2 上的系统部署与实板验收。作品不包含自制机械结构或 PCB；硬件成果为 PL 逻辑、PS–PL 接口、实现工程与配套 bit/hwh。下列区域待补实际照片，保持相同宽高比即可替换。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966625"/>
            <wp:docPr id="8" name="Picture 8" descr="图 8  系统全景照片预留  建议包含供电 网络与主机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hoto_panoram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6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8  系统全景照片预留  建议包含供电 网络与主机连接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966625"/>
            <wp:docPr id="9" name="Picture 9" descr="图 9  PYNQ-Z2 实物近景照片预留  与图 8 同尺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hoto_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6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9  PYNQ-Z2 实物近景照片预留  与图 8 同尺寸</w:t>
      </w:r>
    </w:p>
    <w:p>
      <w:pPr>
        <w:pStyle w:val="2"/>
        <w:pageBreakBefore/>
      </w:pPr>
      <w:r>
        <w:t>官方记录覆盖与恢复检查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2026 年 10 月 23 日，CPU-only 与 CPU+Keccak 两组各完成 145/145 条不同索引，290 条输出及返回值全部核对一致[10]。145 条是指定公开数据集的记录数，并非 145 次完整 KeyGen→Encaps→Decaps 链路。输入来自固定 ACVP-Server 提交[3]，保留 dataset、revision、vsId、tgId 与 tcId。</w:t>
      </w:r>
    </w:p>
    <w:p>
      <w:pPr>
        <w:pStyle w:val="Caption"/>
        <w:keepNext/>
        <w:spacing w:after="80"/>
      </w:pPr>
      <w:r>
        <w:t>表 6  官方数据集修订覆盖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1134"/>
        <w:gridCol w:w="3317"/>
      </w:tblGrid>
      <w:tr>
        <w:trPr>
          <w:cantSplit/>
          <w:tblHeader/>
        </w:trPr>
        <w:tc>
          <w:tcPr>
            <w:tcW w:type="dxa" w:w="385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113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记录数</w:t>
            </w:r>
          </w:p>
        </w:tc>
        <w:tc>
          <w:tcPr>
            <w:tcW w:type="dxa" w:w="331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FIPS203 keyGen</w:t>
            </w:r>
          </w:p>
        </w:tc>
        <w:tc>
          <w:tcPr>
            <w:tcW w:type="dxa" w:w="113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331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正式修订 单独追踪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FIPS203 encapDecap</w:t>
            </w:r>
          </w:p>
        </w:tc>
        <w:tc>
          <w:tcPr>
            <w:tcW w:type="dxa" w:w="113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331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正式修订 单独追踪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FIPS203-tr1 encapDecap</w:t>
            </w:r>
          </w:p>
        </w:tc>
        <w:tc>
          <w:tcPr>
            <w:tcW w:type="dxa" w:w="113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331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兼容修订 不替代正式修订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13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145</w:t>
            </w:r>
          </w:p>
        </w:tc>
        <w:tc>
          <w:tcPr>
            <w:tcW w:type="dxa" w:w="3317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两模式使用相同输入与期望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pStyle w:val="Caption"/>
        <w:keepNext/>
        <w:spacing w:after="80"/>
      </w:pPr>
      <w:r>
        <w:t>表 7  官方操作覆盖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361"/>
        <w:gridCol w:w="3770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操作类别</w:t>
            </w:r>
          </w:p>
        </w:tc>
        <w:tc>
          <w:tcPr>
            <w:tcW w:type="dxa" w:w="136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条数</w:t>
            </w:r>
          </w:p>
        </w:tc>
        <w:tc>
          <w:tcPr>
            <w:tcW w:type="dxa" w:w="377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覆盖内容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KeyGen / Encaps</w:t>
            </w:r>
          </w:p>
        </w:tc>
        <w:tc>
          <w:tcPr>
            <w:tcW w:type="dxa" w:w="136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 / 50</w:t>
            </w:r>
          </w:p>
        </w:tc>
        <w:tc>
          <w:tcPr>
            <w:tcW w:type="dxa" w:w="377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密钥与封装输出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Decaps / seed Decaps</w:t>
            </w:r>
          </w:p>
        </w:tc>
        <w:tc>
          <w:tcPr>
            <w:tcW w:type="dxa" w:w="136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 / 10</w:t>
            </w:r>
          </w:p>
        </w:tc>
        <w:tc>
          <w:tcPr>
            <w:tcW w:type="dxa" w:w="377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含拒绝；后者先重建私钥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公钥 / 私钥检查</w:t>
            </w:r>
          </w:p>
        </w:tc>
        <w:tc>
          <w:tcPr>
            <w:tcW w:type="dxa" w:w="136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 / 20</w:t>
            </w:r>
          </w:p>
        </w:tc>
        <w:tc>
          <w:tcPr>
            <w:tcW w:type="dxa" w:w="377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有效性与返回码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pStyle w:val="3"/>
      </w:pPr>
      <w:r>
        <w:t>重复与恢复的已测范围</w:t>
      </w:r>
    </w:p>
    <w:p>
      <w:pPr>
        <w:pStyle w:val="Caption"/>
        <w:keepNext/>
        <w:spacing w:after="80"/>
      </w:pPr>
      <w:r>
        <w:t>表 8  重复 恢复与装载检查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381"/>
        <w:gridCol w:w="3203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238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执行数量</w:t>
            </w:r>
          </w:p>
        </w:tc>
        <w:tc>
          <w:tcPr>
            <w:tcW w:type="dxa" w:w="320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结果与边界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代表性重复</w:t>
            </w:r>
          </w:p>
        </w:tc>
        <w:tc>
          <w:tcPr>
            <w:tcW w:type="dxa" w:w="238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 模式 × 3 例 × 10 次</w:t>
            </w:r>
          </w:p>
        </w:tc>
        <w:tc>
          <w:tcPr>
            <w:tcW w:type="dxa" w:w="320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60/60；固定 API 周期一致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复位后有效用例</w:t>
            </w:r>
          </w:p>
        </w:tc>
        <w:tc>
          <w:tcPr>
            <w:tcW w:type="dxa" w:w="238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两模式各一次</w:t>
            </w:r>
          </w:p>
        </w:tc>
        <w:tc>
          <w:tcPr>
            <w:tcW w:type="dxa" w:w="320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通过限定复位路径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错误邮箱 magic</w:t>
            </w:r>
          </w:p>
        </w:tc>
        <w:tc>
          <w:tcPr>
            <w:tcW w:type="dxa" w:w="238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两模式各一次</w:t>
            </w:r>
          </w:p>
        </w:tc>
        <w:tc>
          <w:tcPr>
            <w:tcW w:type="dxa" w:w="320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错误码 2；未启动 Keccak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主机极短超时及恢复</w:t>
            </w:r>
          </w:p>
        </w:tc>
        <w:tc>
          <w:tcPr>
            <w:tcW w:type="dxa" w:w="238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两模式各一次</w:t>
            </w:r>
          </w:p>
        </w:tc>
        <w:tc>
          <w:tcPr>
            <w:tcW w:type="dxa" w:w="320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预期超时；复位后有效例通过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完整固件装载及读回</w:t>
            </w:r>
          </w:p>
        </w:tc>
        <w:tc>
          <w:tcPr>
            <w:tcW w:type="dxa" w:w="238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共 8 次 每次 128 KiB</w:t>
            </w:r>
          </w:p>
        </w:tc>
        <w:tc>
          <w:tcPr>
            <w:tcW w:type="dxa" w:w="3203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预期与读回 SHA-256 一致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恢复检查不证明任意非法地址、硬件忙时中断或物理故障可恢复。短时重复也不能替代小时级压力、温度和负载变化测试。公开官方向量通过不等于取得 CAVP 或 FIPS 认证。</w:t>
      </w:r>
    </w:p>
    <w:p>
      <w:pPr>
        <w:pStyle w:val="2"/>
        <w:pageBreakBefore/>
      </w:pPr>
      <w:r>
        <w:t>同板配对性能与主要结果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板上环境为 PYNQ 2.5[9]、Python 3.6.5 与 Linux 4.19。两组采用同一开发板、bitstream、100 MHz、RV32IM-fast、128 KiB RAM、32 KiB 栈、O3 与相同输入。CPU-only 块先运行，加速块后运行，未随机交错。Keccak 电路始终存在，比较服务启用与否的性能，不提供移除该核后的面积或功耗差值。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3428100"/>
            <wp:docPr id="10" name="Picture 10" descr="图 10  完整 API 时间与包含 PS 操作的整批墙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erform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42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10  完整 API 时间与包含 PS 操作的整批墙钟</w:t>
      </w:r>
    </w:p>
    <w:p>
      <w:pPr>
        <w:pStyle w:val="Caption"/>
        <w:keepNext/>
        <w:spacing w:after="80"/>
      </w:pPr>
      <w:r>
        <w:t>表 9  同板性能总量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594"/>
        <w:gridCol w:w="2594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CPU-only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CPU+Keccak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完整 API 原始周期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1,699,293,290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446,852,439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API 时间 100 MHz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16.992933 s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4.468524 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逐例 PS 事务之和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22.128231 s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9.627048 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PS 整批墙钟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22.135449 s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9.634240 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固件装载及读回 单列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2.197310 s</w:t>
            </w:r>
          </w:p>
        </w:tc>
        <w:tc>
          <w:tcPr>
            <w:tcW w:type="dxa" w:w="259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2.170197 s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加速比用两组总量相除：API 为 3.802806×，PS 整批为 2.297581×，逐例 PS 事务之和为 2.298548×。不取逐例加速比的算术平均。固件装载、overlay 装载、JSON 保存与浏览器网络不计入性能比值。</w:t>
      </w:r>
    </w:p>
    <w:p>
      <w:pPr>
        <w:pStyle w:val="2"/>
        <w:pageBreakBefore/>
      </w:pPr>
      <w:r>
        <w:t>操作差异与短时重复性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不同操作对 FIPS 202 的依赖不同，收益不宜用单一局部核指标概括。下表按完整官方集合求和，包含未加速或主机开销主导的类别，未只选择有利用例。</w:t>
      </w:r>
    </w:p>
    <w:p>
      <w:pPr>
        <w:pStyle w:val="Caption"/>
        <w:keepNext/>
        <w:spacing w:after="80"/>
      </w:pPr>
      <w:r>
        <w:t>表 10  分操作完整 API 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680"/>
        <w:gridCol w:w="2098"/>
        <w:gridCol w:w="2098"/>
        <w:gridCol w:w="1786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8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条数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软件周期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加速周期</w:t>
            </w:r>
          </w:p>
        </w:tc>
        <w:tc>
          <w:tcPr>
            <w:tcW w:type="dxa" w:w="178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API 倍数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KeyGen</w:t>
            </w:r>
          </w:p>
        </w:tc>
        <w:tc>
          <w:tcPr>
            <w:tcW w:type="dxa" w:w="68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329,299,932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78,355,067</w:t>
            </w:r>
          </w:p>
        </w:tc>
        <w:tc>
          <w:tcPr>
            <w:tcW w:type="dxa" w:w="178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4.203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Encaps</w:t>
            </w:r>
          </w:p>
        </w:tc>
        <w:tc>
          <w:tcPr>
            <w:tcW w:type="dxa" w:w="68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700,468,526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192,648,502</w:t>
            </w:r>
          </w:p>
        </w:tc>
        <w:tc>
          <w:tcPr>
            <w:tcW w:type="dxa" w:w="178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3.636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Decaps</w:t>
            </w:r>
          </w:p>
        </w:tc>
        <w:tc>
          <w:tcPr>
            <w:tcW w:type="dxa" w:w="68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331,730,752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92,092,680</w:t>
            </w:r>
          </w:p>
        </w:tc>
        <w:tc>
          <w:tcPr>
            <w:tcW w:type="dxa" w:w="178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3.602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seed Decaps</w:t>
            </w:r>
          </w:p>
        </w:tc>
        <w:tc>
          <w:tcPr>
            <w:tcW w:type="dxa" w:w="68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295,059,840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77,103,770</w:t>
            </w:r>
          </w:p>
        </w:tc>
        <w:tc>
          <w:tcPr>
            <w:tcW w:type="dxa" w:w="178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3.827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公钥检查</w:t>
            </w:r>
          </w:p>
        </w:tc>
        <w:tc>
          <w:tcPr>
            <w:tcW w:type="dxa" w:w="68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5,148,150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5,148,150</w:t>
            </w:r>
          </w:p>
        </w:tc>
        <w:tc>
          <w:tcPr>
            <w:tcW w:type="dxa" w:w="178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私钥检查</w:t>
            </w:r>
          </w:p>
        </w:tc>
        <w:tc>
          <w:tcPr>
            <w:tcW w:type="dxa" w:w="680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37,586,090</w:t>
            </w:r>
          </w:p>
        </w:tc>
        <w:tc>
          <w:tcPr>
            <w:tcW w:type="dxa" w:w="20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1,504,270</w:t>
            </w:r>
          </w:p>
        </w:tc>
        <w:tc>
          <w:tcPr>
            <w:tcW w:type="dxa" w:w="178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24.986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公钥检查未调用硬件，API 周期完全相同，其 PS 事务比值为 0.9580×，体现主机固定开销与短时波动；不能宣称所有操作均有提升。seed Decaps 包含根据种子重建私钥，不与普通 Decaps 混为同一任务。</w:t>
      </w:r>
    </w:p>
    <w:p>
      <w:pPr>
        <w:pStyle w:val="3"/>
      </w:pPr>
      <w:r>
        <w:t>代表例各重复十次</w:t>
      </w:r>
    </w:p>
    <w:p>
      <w:pPr>
        <w:pStyle w:val="Caption"/>
        <w:keepNext/>
        <w:spacing w:after="80"/>
      </w:pPr>
      <w:r>
        <w:t>表 11  固定代表例的十次重复统计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041"/>
        <w:gridCol w:w="1772"/>
        <w:gridCol w:w="1772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模式与索引</w:t>
            </w:r>
          </w:p>
        </w:tc>
        <w:tc>
          <w:tcPr>
            <w:tcW w:type="dxa" w:w="204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API 周期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PS 中位数 ms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PS P95 ms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 0 KeyGen</w:t>
            </w:r>
          </w:p>
        </w:tc>
        <w:tc>
          <w:tcPr>
            <w:tcW w:type="dxa" w:w="204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13,046,690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193.987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194.425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 1 Encaps</w:t>
            </w:r>
          </w:p>
        </w:tc>
        <w:tc>
          <w:tcPr>
            <w:tcW w:type="dxa" w:w="204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13,908,285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175.892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176.121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 115 Decaps</w:t>
            </w:r>
          </w:p>
        </w:tc>
        <w:tc>
          <w:tcPr>
            <w:tcW w:type="dxa" w:w="204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17,088,701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198.003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198.236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加速 0 KeyGen</w:t>
            </w:r>
          </w:p>
        </w:tc>
        <w:tc>
          <w:tcPr>
            <w:tcW w:type="dxa" w:w="204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3,120,941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94.677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95.225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加速 1 Encaps</w:t>
            </w:r>
          </w:p>
        </w:tc>
        <w:tc>
          <w:tcPr>
            <w:tcW w:type="dxa" w:w="204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3,841,521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75.316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75.517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加速 115 Decaps</w:t>
            </w:r>
          </w:p>
        </w:tc>
        <w:tc>
          <w:tcPr>
            <w:tcW w:type="dxa" w:w="204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4,658,615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73.611</w:t>
            </w:r>
          </w:p>
        </w:tc>
        <w:tc>
          <w:tcPr>
            <w:tcW w:type="dxa" w:w="1772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73.783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各行十次固定输入的 API 周期均一致。P95 使用最近秩 ceil(0.95n)，n=10 时等于本组最大值；该小样本不支持高置信度尾延迟结论。PS 时间来自板上 Python 计时，非浏览器计时。</w:t>
      </w:r>
    </w:p>
    <w:p>
      <w:pPr>
        <w:pStyle w:val="2"/>
        <w:pageBreakBefore/>
      </w:pPr>
      <w:r>
        <w:t>计时边界与接口成本解释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478780"/>
            <wp:docPr id="11" name="Picture 11" descr="图 11  事务 API 与硬件活动的包含关系  图形不表示时间占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ming_scop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7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11  事务 API 与硬件活动的包含关系  图形不表示时间占比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API 由固件 rdcycle 原始差值计量，包含 API 内软件计算、provider、打包搬运、上下文、启动等待与清零；不含 PS 邮箱传输、固件启动、官方结果核对和随机源采集。空计时区间单独保留，不在本报告中混用扣除后的值。</w:t>
      </w:r>
    </w:p>
    <w:p>
      <w:pPr>
        <w:pStyle w:val="Caption"/>
        <w:keepNext/>
        <w:spacing w:after="80"/>
      </w:pPr>
      <w:r>
        <w:t>表 12  PS 事务阶段总量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2254"/>
        <w:gridCol w:w="2254"/>
      </w:tblGrid>
      <w:tr>
        <w:trPr>
          <w:cantSplit/>
          <w:tblHeader/>
        </w:trPr>
        <w:tc>
          <w:tcPr>
            <w:tcW w:type="dxa" w:w="37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PS 逐例阶段总量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CPU-only s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CPU+Keccak s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上传 含主机打包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2.641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2.641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运行等待 含 API 与轮询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17.470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4.981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下载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1.817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1.813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完整逐例事务和 含核对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22.128</w:t>
            </w:r>
          </w:p>
        </w:tc>
        <w:tc>
          <w:tcPr>
            <w:tcW w:type="dxa" w:w="225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9.627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上传和下载的绝对成本接近，因此 API 的 3.8028× 收益被压缩为约 2.30× 的 PS 收益。运行等待包含 API，阶段合计与 API 不可重复相加；完整事务还含复位、状态和核对等步骤。批次墙钟比逐例之和略长，差额是批次循环与记录开销。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0"/>
        </w:rPr>
        <w:t>全量加速组记录到 3,188 次 HLS 启动、1,980,263 个 busy 周期、257,851 次缓冲写与 435,632 次缓冲读；软件组对应计数均为零。读写计数的单位是 32-bit word 事务而非周期。API 减 busy 同时含软件和接口成本，不能把差值命名为搬运开销。计数由板上驱动观测，不是外部仪器或密码学证明。</w:t>
      </w:r>
    </w:p>
    <w:p>
      <w:pPr>
        <w:pStyle w:val="2"/>
        <w:pageBreakBefore/>
      </w:pPr>
      <w:r>
        <w:t>实现资源与时序签核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953440"/>
            <wp:docPr id="12" name="Picture 12" descr="图 12  完整 PS–PL overlay 的资源占用  非独立 HLS 核占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our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12  完整 PS–PL overlay 的资源占用  非独立 HLS 核占用</w:t>
      </w:r>
    </w:p>
    <w:p>
      <w:pPr>
        <w:pStyle w:val="Caption"/>
        <w:keepNext/>
        <w:spacing w:after="80"/>
      </w:pPr>
      <w:r>
        <w:t>表 13  PS–PL 实现时序与路由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608"/>
        <w:gridCol w:w="280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实现条件或结果</w:t>
            </w:r>
          </w:p>
        </w:tc>
        <w:tc>
          <w:tcPr>
            <w:tcW w:type="dxa" w:w="260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记录值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器件与时钟</w:t>
            </w:r>
          </w:p>
        </w:tc>
        <w:tc>
          <w:tcPr>
            <w:tcW w:type="dxa" w:w="260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xc7z020clg400-1 / 100 MHz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PYNQ-Z2 目标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Setup slack</w:t>
            </w:r>
          </w:p>
        </w:tc>
        <w:tc>
          <w:tcPr>
            <w:tcW w:type="dxa" w:w="260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+0.302 ns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 MHz 约束下通过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Hold slack</w:t>
            </w:r>
          </w:p>
        </w:tc>
        <w:tc>
          <w:tcPr>
            <w:tcW w:type="dxa" w:w="260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+0.026 ns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本候选通过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Pulse width slack</w:t>
            </w:r>
          </w:p>
        </w:tc>
        <w:tc>
          <w:tcPr>
            <w:tcW w:type="dxa" w:w="260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+3.750 ns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本候选通过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路由完成</w:t>
            </w:r>
          </w:p>
        </w:tc>
        <w:tc>
          <w:tcPr>
            <w:tcW w:type="dxa" w:w="260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29,758 / 29,758 网络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实现报告记录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签核阻断 DRC</w:t>
            </w:r>
          </w:p>
        </w:tc>
        <w:tc>
          <w:tcPr>
            <w:tcW w:type="dxa" w:w="2608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806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发布候选检查结果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这些结果表明完整设计能在目标器件实现并以本次约束运行。资源余量为后续模块提供可能性，但正时序裕量不等于增量设计可直接继承签核；加入 DMA、多上下文槽或新算法后仍需重新实现。100 MHz 是已实现并实测的工作点，不能写成通过频率扫描得到的 Fmax。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数据来源为 PS–PL 候选 20261005_psaxi06 的实现报告。独立 HLS IP 和独立 PL 自检的资源与边界不同，本页不与其混算。BRAM36 等效 34.5 可包含 BRAM18 的折算；板级功耗和能效尚未测量。</w:t>
      </w:r>
    </w:p>
    <w:p>
      <w:pPr>
        <w:pStyle w:val="2"/>
        <w:pageBreakBefore/>
      </w:pPr>
      <w:r>
        <w:t>第四部分 总结</w:t>
      </w:r>
    </w:p>
    <w:p>
      <w:pPr>
        <w:pStyle w:val="3"/>
      </w:pPr>
      <w:r>
        <w:t>作品价值与贡献定位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本项目完成了从算法软件、HLS 运算核、软核接口、RTL 验证、实现签核到 PS–PL 实板演示的工程闭环。其直接价值是证明在低成本 FPGA 上，选择覆盖真实调用的服务并处理接口成本，可以让完整 ML-KEM 获得净收益，而非只展示一个脱离系统的快核。两组各 145 条官方记录以及同板配对实验支持这一结论。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对工程应用而言，固定接口与标准软件 provider 的边界便于迁移和替换；对研究而言，局部加速与系统收益之间的差距提供了可检验问题：调用粒度、上下文存放和主机传输如何影响资源与延迟。当前尚未做同器件相关工作对照和逐项结构消融，因此不把集成完整性等同于架构最优，也不宣称优于 PS ARM 的优化实现。</w:t>
      </w:r>
    </w:p>
    <w:p>
      <w:pPr>
        <w:pStyle w:val="3"/>
      </w:pPr>
      <w:r>
        <w:t>可扩展之处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优先在冻结验收版本上测量 provider 各阶段，再评估批量缓冲、多上下文驻留、减少轮询或 DMA。新增配置逐项比较延迟、资源和时序，避免并行度提升却加重接口成本。面向部署，应补 PS ARM 优化软件对照、仪器功耗、长时压力与温度测试；面向安全产品，还需真实随机源、密钥生命周期、擦除、侧信道与故障注入评估。K=3 及其他参数的硬件支持需独立验证，不能由 K=4 结果直接外推。</w:t>
      </w:r>
    </w:p>
    <w:p>
      <w:pPr>
        <w:pStyle w:val="3"/>
      </w:pPr>
      <w:r>
        <w:t>工程总结与设计反思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早期 K=2 BaseMul 的约 0.9930× 结果提醒我们，减少局部算术周期不一定缩短完整 API。后续选择 Keccak 服务，既扩大了可卸载调用范围，也保留了标准算法流程。这次调整的依据是调用工作负载和实测收益，而不是最高参数本身。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HLS 优化同样需要边界意识。对密码状态进行有损定点化会改变标准输出，本设计只优化数据布局、循环结构和存储访问。曾通过局部测试的核仍要在真实 CPU、BRAM 仲裁、时钟复位和主机协议下重新验证；单独 IP 的时序通过也不能代替系统时序通过。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项目最终把输入、固件、硬件与输出身份连成证据链，保留失败与历史记录，使用子集提高迭代效率，再以全量验收冻结结论。这套方法既降低了重复长仿真的成本，也让性能数字能够被解释和复核。当前系统适合作为研究、教学和竞赛原型；进一步产品化仍需上述安全与运行条件评估。</w:t>
      </w:r>
    </w:p>
    <w:p>
      <w:pPr>
        <w:pStyle w:val="2"/>
        <w:pageBreakBefore/>
      </w:pPr>
      <w:r>
        <w:t>演示与工程复核入口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现场建议依次展示版本及哈希、两种固件的三个代表操作、性能对照与原始记录入口。完整 145 条的板上运行属于秒级到数十秒量级，远短于逐周期 RTL 仿真；是否现场重跑取决于演示时间与网络条件。既有全量证据可直接复核，不要求为了展示重新执行长仿真。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4000" cy="2966625"/>
            <wp:docPr id="13" name="Picture 13" descr="图 13  Jupyter 双模式测试与性能对照的实际截图预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reen_jupy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6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图 13  Jupyter 双模式测试与性能对照的实际截图预留</w:t>
      </w:r>
    </w:p>
    <w:p>
      <w:pPr>
        <w:pStyle w:val="Caption"/>
        <w:keepNext/>
        <w:spacing w:after="80"/>
      </w:pPr>
      <w:r>
        <w:t>表 14  工程材料入口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584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558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5477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仓库内相对入口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主线源码与说明</w:t>
            </w:r>
          </w:p>
        </w:tc>
        <w:tc>
          <w:tcPr>
            <w:tcW w:type="dxa" w:w="558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mainline/k4/README.md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HLS 与系统流程</w:t>
            </w:r>
          </w:p>
        </w:tc>
        <w:tc>
          <w:tcPr>
            <w:tcW w:type="dxa" w:w="558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mainline/k4/flow.tcl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Block Design 与 AXI 流程</w:t>
            </w:r>
          </w:p>
        </w:tc>
        <w:tc>
          <w:tcPr>
            <w:tcW w:type="dxa" w:w="558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mainline/k4/bd_axi.tcl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配对测量部署快照</w:t>
            </w:r>
          </w:p>
        </w:tc>
        <w:tc>
          <w:tcPr>
            <w:tcW w:type="dxa" w:w="558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results/k4/paired_firmware/</w:t>
              <w:br/>
              <w:t>board_20261023/upload_snapshot/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本次实板原始证据</w:t>
            </w:r>
          </w:p>
        </w:tc>
        <w:tc>
          <w:tcPr>
            <w:tcW w:type="dxa" w:w="5584"/>
            <w:vAlign w:val="center"/>
            <w:tcMar>
              <w:top w:w="65" w:type="dxa"/>
              <w:left w:w="70" w:type="dxa"/>
              <w:bottom w:w="65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6F9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results/k4/paired_firmware/board_20261023/</w:t>
            </w:r>
          </w:p>
        </w:tc>
      </w:tr>
    </w:tbl>
    <w:p>
      <w:pPr>
        <w:spacing w:after="60" w:line="20" w:lineRule="exact"/>
      </w:pPr>
      <w:r>
        <w:rPr>
          <w:rFonts w:ascii="Times New Roman" w:hAnsi="Times New Roman" w:eastAsia="宋体"/>
          <w:color w:val="000000"/>
          <w:sz w:val="2"/>
        </w:rPr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已归档证据的只读复核命令  从仓库根目录运行</w:t>
      </w:r>
    </w:p>
    <w:p>
      <w:pPr>
        <w:widowControl/>
        <w:spacing w:after="100"/>
        <w:ind w:firstLine="0"/>
      </w:pPr>
      <w:r>
        <w:rPr>
          <w:rFonts w:ascii="Consolas" w:hAnsi="Consolas" w:eastAsia="宋体"/>
          <w:color w:val="000000"/>
          <w:sz w:val="18"/>
        </w:rPr>
        <w:t>python mainline/k4/scripts/pynq_overlay.py</w:t>
        <w:br/>
        <w:t xml:space="preserve">  collect-paired results/k4/paired_firmware/board_20261023</w:t>
        <w:br/>
        <w:t xml:space="preserve">  --check-existing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以上三行合并为一条命令。只读复核重新检查身份、输出与汇总，无需板卡或 Vivado。重建请按主线 README 配置工具和 Tcl 开关；CHECK_ONLY 与仿真启动不属于最终 PASS。</w:t>
      </w:r>
    </w:p>
    <w:p>
      <w:pPr>
        <w:pStyle w:val="2"/>
        <w:pageBreakBefore/>
      </w:pPr>
      <w:r>
        <w:t>第五部分 参考文献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[1] NATIONAL INSTITUTE OF STANDARDS AND TECHNOLOGY. Module-Lattice-Based Key-Encapsulation Mechanism Standard: FIPS 203[S]. Gaithersburg: NIST, 2024. DOI: 10.6028/NIST.FIPS.203.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[2] NATIONAL INSTITUTE OF STANDARDS AND TECHNOLOGY. SHA-3 Standard: Permutation-Based Hash and Extendable-Output Functions: FIPS 202[S]. Gaithersburg: NIST, 2015. DOI: 10.6028/NIST.FIPS.202.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[3] NIST. ACVP-Server[CP/OL]. 固定提交 975de31eb83d87039ec88934fdc47d8c312b892d, 采集日期 2026-09-23. https://github.com/usnistgov/ACVP-Server.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[4] PQ CODE PACKAGE. mlkem-native[CP/OL]. 固定提交 b3ba7b32773e657dd37f6f87bce82528459ad8a4. https://github.com/pq-code-package/mlkem-native.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[5] YOSYSHQ. PicoRV32 A Size-Optimized RISC-V CPU[CP/OL]. https://github.com/YosysHQ/picorv32.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[6] AMD. Vitis High-Level Synthesis User Guide: UG1399[M/OL]. 2024.2. https://docs.amd.com/r/2024.2-English/ug1399-vitis-hls.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[7] AMD. Vivado Design Suite User Guide Designing IP Subsystems Using IP Integrator: UG994[M/OL]. 2024.2. https://docs.amd.com/r/2024.2-English/ug994-vivado-ip-subsystems.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[8] AMD. Vivado Design Suite User Guide Using Constraints: UG903[M/OL]. 2024.2. https://docs.amd.com/r/2024.2-English/ug903-vivado-using-constraints.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[9] PYNQ PROJECT. PYNQ Documentation[EB/OL]. v2.5. https://pynq.readthedocs.io/en/v2.5/.</w:t>
      </w:r>
    </w:p>
    <w:p>
      <w:pPr>
        <w:widowControl/>
        <w:spacing w:after="120"/>
        <w:ind w:left="397" w:hanging="397"/>
        <w:jc w:val="left"/>
      </w:pPr>
      <w:r>
        <w:rPr>
          <w:rFonts w:ascii="Times New Roman" w:hAnsi="Times New Roman" w:eastAsia="宋体"/>
          <w:color w:val="000000"/>
          <w:sz w:val="20"/>
        </w:rPr>
        <w:t>[10] 本项目实板证据归档. 同板双固件配对验证记录及独立核验[R]. 2026-10-23. results/k4/paired_firmware/board_20261023/summary.md 及 verification.json.</w:t>
      </w:r>
    </w:p>
    <w:p>
      <w:pPr>
        <w:pStyle w:val="3"/>
      </w:pPr>
      <w:r>
        <w:t>数据与引用说明</w:t>
      </w:r>
    </w:p>
    <w:p>
      <w:pPr>
        <w:widowControl/>
        <w:spacing w:after="100"/>
        <w:ind w:firstLine="440"/>
      </w:pPr>
      <w:r>
        <w:rPr>
          <w:rFonts w:ascii="Times New Roman" w:hAnsi="Times New Roman" w:eastAsia="宋体"/>
          <w:color w:val="000000"/>
          <w:sz w:val="22"/>
        </w:rPr>
        <w:t>标准用于定义算法与接口行为，公开软件用于实现与独立核对，AMD 和 PYNQ 文档用于工具与平台。本文的性能、资源和时序数据均引用本项目实际归档，未以厂商标称值或文献中的局部核结果替代实测。公开向量固定在上述提交，FIPS203 与 FIPS203-tr1 修订分别追踪。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20"/>
        </w:rPr>
        <w:t>本次原始证据 ZIP 的 SHA-256 为：</w:t>
      </w:r>
    </w:p>
    <w:p>
      <w:pPr>
        <w:widowControl/>
        <w:spacing w:after="100"/>
        <w:ind w:firstLine="0"/>
      </w:pPr>
      <w:r>
        <w:rPr>
          <w:rFonts w:ascii="Consolas" w:hAnsi="Consolas" w:eastAsia="宋体"/>
          <w:color w:val="000000"/>
          <w:sz w:val="18"/>
        </w:rPr>
        <w:t>830e7fbd94c1e8ca621203514bce866ed</w:t>
        <w:br/>
        <w:t>2c8efffb5ffe214ac19f8159a7d37e6</w:t>
      </w:r>
    </w:p>
    <w:p>
      <w:pPr>
        <w:widowControl/>
        <w:spacing w:after="100"/>
        <w:ind w:firstLine="0"/>
      </w:pPr>
      <w:r>
        <w:rPr>
          <w:rFonts w:ascii="Times New Roman" w:hAnsi="Times New Roman" w:eastAsia="宋体"/>
          <w:color w:val="000000"/>
          <w:sz w:val="19"/>
        </w:rPr>
        <w:t>哈希换行为排版需要，核对时连接为 64 个十六进制字符。原 ZIP、42 个 JSON、上传绑定快照与离线复核脚本均独立保留；后续补照片不改变实验原始数据。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88" w:lineRule="auto"/>
      <w:jc w:val="both"/>
      <w:snapToGrid w:val="0"/>
    </w:pPr>
    <w:rPr>
      <w:rFonts w:asciiTheme="minorHAnsi" w:hAnsiTheme="minorHAnsi" w:eastAsiaTheme="minorEastAsia" w:cstheme="minorBidi" w:ascii="Times New Roman" w:hAnsi="Times New Roman" w:eastAsia="宋体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0" w:after="200" w:line="288" w:lineRule="auto"/>
      <w:outlineLvl w:val="0"/>
      <w:snapToGrid w:val="0"/>
    </w:pPr>
    <w:rPr>
      <w:rFonts w:ascii="Times New Roman" w:hAnsi="Times New Roman" w:eastAsia="宋体"/>
      <w:b/>
      <w:bCs/>
      <w:color w:val="000000"/>
      <w:kern w:val="44"/>
      <w:sz w:val="28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40" w:after="100" w:line="288" w:lineRule="auto"/>
      <w:outlineLvl w:val="1"/>
      <w:snapToGrid w:val="0"/>
    </w:pPr>
    <w:rPr>
      <w:rFonts w:asciiTheme="majorHAnsi" w:hAnsiTheme="majorHAnsi" w:eastAsiaTheme="majorEastAsia" w:cstheme="majorBidi" w:ascii="Times New Roman" w:hAnsi="Times New Roman" w:eastAsia="宋体"/>
      <w:b/>
      <w:bCs/>
      <w:color w:val="000000"/>
      <w:sz w:val="24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  <w:style w:type="paragraph" w:customStyle="1" w:styleId="Title">
    <w:name w:val="Title"/>
    <w:pPr>
      <w:spacing w:before="0" w:after="100" w:line="288" w:lineRule="auto"/>
      <w:keepNext/>
      <w:snapToGrid w:val="0"/>
    </w:pPr>
    <w:rPr>
      <w:rFonts w:ascii="Times New Roman" w:hAnsi="Times New Roman" w:eastAsia="宋体"/>
      <w:b/>
      <w:color w:val="000000"/>
      <w:sz w:val="40"/>
    </w:rPr>
  </w:style>
  <w:style w:type="paragraph" w:customStyle="1" w:styleId="Subtitle">
    <w:name w:val="Subtitle"/>
    <w:pPr>
      <w:spacing w:before="0" w:after="100" w:line="288" w:lineRule="auto"/>
      <w:keepNext/>
      <w:snapToGrid w:val="0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Heading3">
    <w:name w:val="heading 3"/>
    <w:pPr>
      <w:spacing w:before="0" w:after="100" w:line="288" w:lineRule="auto"/>
      <w:keepNext/>
      <w:snapToGrid w:val="0"/>
    </w:pPr>
    <w:rPr>
      <w:rFonts w:ascii="Times New Roman" w:hAnsi="Times New Roman" w:eastAsia="宋体"/>
      <w:b/>
      <w:color w:val="000000"/>
      <w:sz w:val="22"/>
    </w:rPr>
  </w:style>
  <w:style w:type="paragraph" w:customStyle="1" w:styleId="Caption">
    <w:name w:val="caption"/>
    <w:pPr>
      <w:spacing w:before="0" w:after="100" w:line="288" w:lineRule="auto"/>
      <w:snapToGrid w:val="0"/>
    </w:pPr>
    <w:rPr>
      <w:rFonts w:ascii="Times New Roman" w:hAnsi="Times New Roman" w:eastAsia="宋体"/>
      <w:i w:val="0"/>
      <w:color w:val="000000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/>
  <cp:lastModifiedBy/>
  <dcterms:modified xsi:type="dcterms:W3CDTF">2025-10-14T06:21:24Z</dcterms:modified>
  <cp:revision>3</cp:revision>
  <dc:title>面向 PYNQ Z2 的 ML KEM 1024 软硬件协同加速系统</dc:title>
  <dc:subject>竞赛技术报告</dc:subject>
  <cp:keywords>ML-KEM-1024; Keccak; PYNQ-Z2; FPGA; 实板验证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