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60"/>
      </w:pPr>
      <w:r>
        <w:rPr>
          <w:rFonts w:ascii="Rubik" w:hAnsi="Rubik" w:eastAsia="Rubik"/>
          <w:b w:val="0"/>
        </w:rPr>
        <w:t>Clinical Ophthalmology MCQs</w:t>
      </w:r>
    </w:p>
    <w:p>
      <w:pPr>
        <w:keepNext/>
        <w:spacing w:after="60"/>
      </w:pPr>
      <w:r>
        <w:rPr>
          <w:rFonts w:ascii="Rubik" w:hAnsi="Rubik" w:eastAsia="Rubik"/>
          <w:b w:val="0"/>
          <w:sz w:val="21"/>
        </w:rPr>
        <w:t>20 M3-M5 cases on diagnosis, investigation and next-step management. Answers and brief explanations follow each case; retinal cases include supplied Anki photographs.</w:t>
      </w:r>
    </w:p>
    <w:p>
      <w:pPr>
        <w:pStyle w:val="Heading2"/>
        <w:keepNext/>
        <w:spacing w:after="60"/>
      </w:pPr>
      <w:r>
        <w:rPr>
          <w:rFonts w:ascii="Rubik" w:hAnsi="Rubik" w:eastAsia="Rubik"/>
          <w:b w:val="0"/>
        </w:rPr>
        <w:t>Question 01</w:t>
      </w:r>
    </w:p>
    <w:p>
      <w:pPr>
        <w:keepNext/>
        <w:spacing w:after="60"/>
      </w:pPr>
      <w:r>
        <w:rPr>
          <w:rFonts w:ascii="Rubik" w:hAnsi="Rubik" w:eastAsia="Rubik"/>
          <w:b w:val="0"/>
          <w:sz w:val="19"/>
        </w:rPr>
        <w:t>Question type: Clinical | immediate treatment</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76-year-old woman presents with two hours of painless loss of vision in her left eye. For three weeks she has had a new temporal headache, scalp discomfort when brushing her hair and aching of the jaw after chewing. Left visual acuity is hand movements, with a left relative afferent pupillary defect and a pale swollen optic disc; right acuity remains 6/9. ESR and CRP are markedly elevated. A temporal artery ultrasound can be arranged tomorrow, and she has not received treatment. Which action best protects her remaining vision now?</w:t>
      </w:r>
    </w:p>
    <w:p>
      <w:pPr>
        <w:keepNext/>
        <w:spacing w:after="60"/>
      </w:pPr>
      <w:r>
        <w:rPr>
          <w:rFonts w:ascii="Rubik" w:hAnsi="Rubik" w:eastAsia="Rubik"/>
          <w:b/>
        </w:rPr>
        <w:t>Options</w:t>
      </w:r>
    </w:p>
    <w:p>
      <w:pPr>
        <w:keepNext/>
        <w:spacing w:after="60"/>
      </w:pPr>
      <w:r>
        <w:rPr>
          <w:rFonts w:ascii="Rubik" w:hAnsi="Rubik" w:eastAsia="Rubik"/>
          <w:b w:val="0"/>
        </w:rPr>
        <w:t>a) Await temporal artery imaging before starting systemic treatment</w:t>
      </w:r>
    </w:p>
    <w:p>
      <w:pPr>
        <w:keepNext/>
        <w:spacing w:after="60"/>
      </w:pPr>
      <w:r>
        <w:rPr>
          <w:rFonts w:ascii="Rubik" w:hAnsi="Rubik" w:eastAsia="Rubik"/>
          <w:b w:val="0"/>
        </w:rPr>
        <w:t>b) Start antiplatelet therapy alone while arranging carotid imaging</w:t>
      </w:r>
    </w:p>
    <w:p>
      <w:pPr>
        <w:keepNext/>
        <w:spacing w:after="60"/>
      </w:pPr>
      <w:r>
        <w:rPr>
          <w:rFonts w:ascii="Rubik" w:hAnsi="Rubik" w:eastAsia="Rubik"/>
          <w:b w:val="0"/>
        </w:rPr>
        <w:t>c) Start urgent systemic glucocorticoids with specialist assessment</w:t>
      </w:r>
    </w:p>
    <w:p>
      <w:pPr>
        <w:keepNext/>
        <w:spacing w:after="60"/>
      </w:pPr>
      <w:r>
        <w:rPr>
          <w:rFonts w:ascii="Rubik" w:hAnsi="Rubik" w:eastAsia="Rubik"/>
          <w:b w:val="0"/>
        </w:rPr>
        <w:t>d) Start intravitreal anti-VEGF therapy after macular OCT</w:t>
      </w:r>
    </w:p>
    <w:p>
      <w:pPr>
        <w:keepNext/>
        <w:spacing w:after="60"/>
      </w:pPr>
      <w:r>
        <w:rPr>
          <w:rFonts w:ascii="Rubik" w:hAnsi="Rubik" w:eastAsia="Rubik"/>
          <w:b w:val="0"/>
        </w:rPr>
        <w:t>e) Arrange routine follow-up after repeat inflammatory markers</w:t>
      </w:r>
    </w:p>
    <w:p>
      <w:pPr>
        <w:keepNext/>
        <w:spacing w:after="60"/>
      </w:pPr>
      <w:r>
        <w:rPr>
          <w:rFonts w:ascii="Rubik" w:hAnsi="Rubik" w:eastAsia="Rubik"/>
          <w:b/>
        </w:rPr>
        <w:t>Correct option: c) Start urgent systemic glucocorticoids with specialist assessment</w:t>
      </w:r>
    </w:p>
    <w:p>
      <w:pPr>
        <w:keepNext w:val="0"/>
        <w:spacing w:after="60"/>
      </w:pPr>
      <w:r>
        <w:rPr>
          <w:rFonts w:ascii="Rubik" w:hAnsi="Rubik" w:eastAsia="Rubik"/>
          <w:b w:val="0"/>
        </w:rPr>
        <w:t>The presentation strongly suggests giant cell arteritis with arteritic ischaemic optic neuropathy, so systemic glucocorticoids must begin without waiting for confirmation. Threatened vision warrants emergency specialist care, with pulse intravenous therapy considered to protect the fellow eye.</w:t>
      </w:r>
    </w:p>
    <w:p>
      <w:pPr>
        <w:pStyle w:val="Heading2"/>
        <w:keepNext/>
        <w:pageBreakBefore/>
        <w:spacing w:after="60"/>
      </w:pPr>
      <w:r>
        <w:rPr>
          <w:rFonts w:ascii="Rubik" w:hAnsi="Rubik" w:eastAsia="Rubik"/>
          <w:b w:val="0"/>
        </w:rPr>
        <w:t>Question 02</w:t>
      </w:r>
    </w:p>
    <w:p>
      <w:pPr>
        <w:keepNext/>
        <w:spacing w:after="60"/>
      </w:pPr>
      <w:r>
        <w:rPr>
          <w:rFonts w:ascii="Rubik" w:hAnsi="Rubik" w:eastAsia="Rubik"/>
          <w:b w:val="0"/>
          <w:sz w:val="19"/>
        </w:rPr>
        <w:t>Question type: Clinical | triage and investigation</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65-year-old man attends a same-day clinic after his right eye suddenly went dark for four minutes while reading. Vision returned fully and is now 6/6 in both eyes. He has hypertension, hyperlipidaemia and a smoking history, but no headache, scalp tenderness, jaw symptoms, flashing lights or limb weakness. Pupils, visual fields and fundus examination are currently normal. He asks whether the normal examination means no further assessment is needed. Which next step most appropriately addresses the risk associated with this episode?</w:t>
      </w:r>
    </w:p>
    <w:p>
      <w:pPr>
        <w:keepNext/>
        <w:spacing w:after="60"/>
      </w:pPr>
      <w:r>
        <w:rPr>
          <w:rFonts w:ascii="Rubik" w:hAnsi="Rubik" w:eastAsia="Rubik"/>
          <w:b/>
        </w:rPr>
        <w:t>Options</w:t>
      </w:r>
    </w:p>
    <w:p>
      <w:pPr>
        <w:keepNext/>
        <w:spacing w:after="60"/>
      </w:pPr>
      <w:r>
        <w:rPr>
          <w:rFonts w:ascii="Rubik" w:hAnsi="Rubik" w:eastAsia="Rubik"/>
          <w:b w:val="0"/>
        </w:rPr>
        <w:t>a) Refer immediately through a stroke or TIA pathway for urgent assessment</w:t>
      </w:r>
    </w:p>
    <w:p>
      <w:pPr>
        <w:keepNext/>
        <w:spacing w:after="60"/>
      </w:pPr>
      <w:r>
        <w:rPr>
          <w:rFonts w:ascii="Rubik" w:hAnsi="Rubik" w:eastAsia="Rubik"/>
          <w:b w:val="0"/>
        </w:rPr>
        <w:t>b) Arrange routine refraction and review if another episode occurs</w:t>
      </w:r>
    </w:p>
    <w:p>
      <w:pPr>
        <w:keepNext/>
        <w:spacing w:after="60"/>
      </w:pPr>
      <w:r>
        <w:rPr>
          <w:rFonts w:ascii="Rubik" w:hAnsi="Rubik" w:eastAsia="Rubik"/>
          <w:b w:val="0"/>
        </w:rPr>
        <w:t>c) Treat as retinal migraine without further vascular investigation</w:t>
      </w:r>
    </w:p>
    <w:p>
      <w:pPr>
        <w:keepNext/>
        <w:spacing w:after="60"/>
      </w:pPr>
      <w:r>
        <w:rPr>
          <w:rFonts w:ascii="Rubik" w:hAnsi="Rubik" w:eastAsia="Rubik"/>
          <w:b w:val="0"/>
        </w:rPr>
        <w:t>d) Order macular OCT and defer systemic assessment until the result</w:t>
      </w:r>
    </w:p>
    <w:p>
      <w:pPr>
        <w:keepNext/>
        <w:spacing w:after="60"/>
      </w:pPr>
      <w:r>
        <w:rPr>
          <w:rFonts w:ascii="Rubik" w:hAnsi="Rubik" w:eastAsia="Rubik"/>
          <w:b w:val="0"/>
        </w:rPr>
        <w:t>e) Arrange non-urgent carotid imaging as the only investigation</w:t>
      </w:r>
    </w:p>
    <w:p>
      <w:pPr>
        <w:keepNext/>
        <w:spacing w:after="60"/>
      </w:pPr>
      <w:r>
        <w:rPr>
          <w:rFonts w:ascii="Rubik" w:hAnsi="Rubik" w:eastAsia="Rubik"/>
          <w:b/>
        </w:rPr>
        <w:t>Correct option: a) Refer immediately through a stroke or TIA pathway for urgent assessment</w:t>
      </w:r>
    </w:p>
    <w:p>
      <w:pPr>
        <w:keepNext w:val="0"/>
        <w:spacing w:after="60"/>
      </w:pPr>
      <w:r>
        <w:rPr>
          <w:rFonts w:ascii="Rubik" w:hAnsi="Rubik" w:eastAsia="Rubik"/>
          <w:b w:val="0"/>
        </w:rPr>
        <w:t>A sudden negative monocular episode with vascular risk factors suggests retinal ischaemia despite complete recovery and a normal examination. Urgent TIA assessment addresses carotid and cardiac sources and secondary prevention; NICE recommends specialist assessment within 24 hours.</w:t>
      </w:r>
    </w:p>
    <w:p>
      <w:pPr>
        <w:pStyle w:val="Heading2"/>
        <w:keepNext/>
        <w:pageBreakBefore/>
        <w:spacing w:after="60"/>
      </w:pPr>
      <w:r>
        <w:rPr>
          <w:rFonts w:ascii="Rubik" w:hAnsi="Rubik" w:eastAsia="Rubik"/>
          <w:b w:val="0"/>
        </w:rPr>
        <w:t>Question 03</w:t>
      </w:r>
    </w:p>
    <w:p>
      <w:pPr>
        <w:keepNext/>
        <w:spacing w:after="60"/>
      </w:pPr>
      <w:r>
        <w:rPr>
          <w:rFonts w:ascii="Rubik" w:hAnsi="Rubik" w:eastAsia="Rubik"/>
          <w:b w:val="0"/>
          <w:sz w:val="19"/>
        </w:rPr>
        <w:t>Question type: Clinical | initial investigation and treatment</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Imran, 27, is assessed in the eye emergency service after two days of increasing pain, photophobia and blurred vision in his right eye. He slept in reusable contact lenses while travelling. Acuity is 6/60, compared with 6/6 in the other eye. Slit-lamp examination shows a 3.5 mm central stromal infiltrate beneath a fluorescein-staining epithelial defect, with anterior chamber cells and a small hypopyon. There is no corneal leak or visible dendrite. He has used no antimicrobials, and corneal sampling is available immediately. Which initial management plan best protects vision while allowing treatment to be refined?</w:t>
      </w:r>
    </w:p>
    <w:p>
      <w:pPr>
        <w:keepNext/>
        <w:spacing w:after="60"/>
      </w:pPr>
      <w:r>
        <w:rPr>
          <w:rFonts w:ascii="Rubik" w:hAnsi="Rubik" w:eastAsia="Rubik"/>
          <w:b/>
        </w:rPr>
        <w:t>Options</w:t>
      </w:r>
    </w:p>
    <w:p>
      <w:pPr>
        <w:keepNext/>
        <w:spacing w:after="60"/>
      </w:pPr>
      <w:r>
        <w:rPr>
          <w:rFonts w:ascii="Rubik" w:hAnsi="Rubik" w:eastAsia="Rubik"/>
          <w:b w:val="0"/>
        </w:rPr>
        <w:t>a) Begin a standard four-times-daily topical antibiotic course without sampling and review in one week.</w:t>
      </w:r>
    </w:p>
    <w:p>
      <w:pPr>
        <w:keepNext/>
        <w:spacing w:after="60"/>
      </w:pPr>
      <w:r>
        <w:rPr>
          <w:rFonts w:ascii="Rubik" w:hAnsi="Rubik" w:eastAsia="Rubik"/>
          <w:b w:val="0"/>
        </w:rPr>
        <w:t>b) Scrape for microscopy and culture, then start intensive empirical topical antibiotics immediately and review closely.</w:t>
      </w:r>
    </w:p>
    <w:p>
      <w:pPr>
        <w:keepNext/>
        <w:spacing w:after="60"/>
      </w:pPr>
      <w:r>
        <w:rPr>
          <w:rFonts w:ascii="Rubik" w:hAnsi="Rubik" w:eastAsia="Rubik"/>
          <w:b w:val="0"/>
        </w:rPr>
        <w:t>c) Scrape for culture and defer antimicrobials until susceptibility results identify the most effective drug.</w:t>
      </w:r>
    </w:p>
    <w:p>
      <w:pPr>
        <w:keepNext/>
        <w:spacing w:after="60"/>
      </w:pPr>
      <w:r>
        <w:rPr>
          <w:rFonts w:ascii="Rubik" w:hAnsi="Rubik" w:eastAsia="Rubik"/>
          <w:b w:val="0"/>
        </w:rPr>
        <w:t>d) Start oral antibiotics as the primary treatment and reserve topical therapy for a positive culture.</w:t>
      </w:r>
    </w:p>
    <w:p>
      <w:pPr>
        <w:keepNext/>
        <w:spacing w:after="60"/>
      </w:pPr>
      <w:r>
        <w:rPr>
          <w:rFonts w:ascii="Rubik" w:hAnsi="Rubik" w:eastAsia="Rubik"/>
          <w:b w:val="0"/>
        </w:rPr>
        <w:t>e) Start intensive antibiotic and topical steroid together before sampling to suppress the hypopyon.</w:t>
      </w:r>
    </w:p>
    <w:p>
      <w:pPr>
        <w:keepNext/>
        <w:spacing w:after="60"/>
      </w:pPr>
      <w:r>
        <w:rPr>
          <w:rFonts w:ascii="Rubik" w:hAnsi="Rubik" w:eastAsia="Rubik"/>
          <w:b/>
        </w:rPr>
        <w:t>Correct option: b) Scrape for microscopy and culture, then start intensive empirical topical antibiotics immediately and review closely.</w:t>
      </w:r>
    </w:p>
    <w:p>
      <w:pPr>
        <w:keepNext w:val="0"/>
        <w:spacing w:after="60"/>
      </w:pPr>
      <w:r>
        <w:rPr>
          <w:rFonts w:ascii="Rubik" w:hAnsi="Rubik" w:eastAsia="Rubik"/>
          <w:b w:val="0"/>
        </w:rPr>
        <w:t>The central, large ulcer with visual loss and anterior chamber inflammation should be sampled and treated promptly with intensive topical antimicrobials. Culture refines treatment; it must not postpone empirical treatment, and steroid use requires specialist assessment.</w:t>
      </w:r>
    </w:p>
    <w:p>
      <w:pPr>
        <w:pStyle w:val="Heading2"/>
        <w:keepNext/>
        <w:pageBreakBefore/>
        <w:spacing w:after="60"/>
      </w:pPr>
      <w:r>
        <w:rPr>
          <w:rFonts w:ascii="Rubik" w:hAnsi="Rubik" w:eastAsia="Rubik"/>
          <w:b w:val="0"/>
        </w:rPr>
        <w:t>Question 04</w:t>
      </w:r>
    </w:p>
    <w:p>
      <w:pPr>
        <w:keepNext/>
        <w:spacing w:after="60"/>
      </w:pPr>
      <w:r>
        <w:rPr>
          <w:rFonts w:ascii="Rubik" w:hAnsi="Rubik" w:eastAsia="Rubik"/>
          <w:b w:val="0"/>
          <w:sz w:val="19"/>
        </w:rPr>
        <w:t>Question type: Clinical | diagnosis</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Mei, 38, develops unilateral photophobia, tearing and blurred vision. She recalls a similar episode but has no confirmed diagnosis. Believing the redness is recurrent iritis, she restarts prednisolone drops from an old prescription. The discomfort initially eases, but vision worsens over two days. Acuity is 6/24. Examination shows a branching fluorescein-staining epithelial ulcer with terminal bulbs, reduced corneal sensation and a few anterior chamber cells. There is no dense stromal infiltrate or hypopyon, and pressure is not elevated. She asks whether to increase the steroid because inflammatory cells are present. Which diagnosis best explains the epithelial pattern and makes that escalation unsafe?</w:t>
      </w:r>
    </w:p>
    <w:p>
      <w:pPr>
        <w:keepNext/>
        <w:spacing w:after="60"/>
      </w:pPr>
      <w:r>
        <w:rPr>
          <w:rFonts w:ascii="Rubik" w:hAnsi="Rubik" w:eastAsia="Rubik"/>
          <w:b/>
        </w:rPr>
        <w:t>Options</w:t>
      </w:r>
    </w:p>
    <w:p>
      <w:pPr>
        <w:keepNext/>
        <w:spacing w:after="60"/>
      </w:pPr>
      <w:r>
        <w:rPr>
          <w:rFonts w:ascii="Rubik" w:hAnsi="Rubik" w:eastAsia="Rubik"/>
          <w:b w:val="0"/>
        </w:rPr>
        <w:t>a) Varicella-zoster epithelial keratitis with corneal pseudodendrites.</w:t>
      </w:r>
    </w:p>
    <w:p>
      <w:pPr>
        <w:keepNext/>
        <w:spacing w:after="60"/>
      </w:pPr>
      <w:r>
        <w:rPr>
          <w:rFonts w:ascii="Rubik" w:hAnsi="Rubik" w:eastAsia="Rubik"/>
          <w:b w:val="0"/>
        </w:rPr>
        <w:t>b) Noninfectious anterior uveitis with a secondary sterile epithelial defect.</w:t>
      </w:r>
    </w:p>
    <w:p>
      <w:pPr>
        <w:keepNext/>
        <w:spacing w:after="60"/>
      </w:pPr>
      <w:r>
        <w:rPr>
          <w:rFonts w:ascii="Rubik" w:hAnsi="Rubik" w:eastAsia="Rubik"/>
          <w:b w:val="0"/>
        </w:rPr>
        <w:t>c) Adenoviral keratoconjunctivitis with immune subepithelial infiltrates.</w:t>
      </w:r>
    </w:p>
    <w:p>
      <w:pPr>
        <w:keepNext/>
        <w:spacing w:after="60"/>
      </w:pPr>
      <w:r>
        <w:rPr>
          <w:rFonts w:ascii="Rubik" w:hAnsi="Rubik" w:eastAsia="Rubik"/>
          <w:b w:val="0"/>
        </w:rPr>
        <w:t>d) Active herpes simplex epithelial keratitis with a dendritic ulcer.</w:t>
      </w:r>
    </w:p>
    <w:p>
      <w:pPr>
        <w:keepNext/>
        <w:spacing w:after="60"/>
      </w:pPr>
      <w:r>
        <w:rPr>
          <w:rFonts w:ascii="Rubik" w:hAnsi="Rubik" w:eastAsia="Rubik"/>
          <w:b w:val="0"/>
        </w:rPr>
        <w:t>e) Fungal keratitis with satellite lesions around a stromal infiltrate.</w:t>
      </w:r>
    </w:p>
    <w:p>
      <w:pPr>
        <w:keepNext/>
        <w:spacing w:after="60"/>
      </w:pPr>
      <w:r>
        <w:rPr>
          <w:rFonts w:ascii="Rubik" w:hAnsi="Rubik" w:eastAsia="Rubik"/>
          <w:b/>
        </w:rPr>
        <w:t>Correct option: d) Active herpes simplex epithelial keratitis with a dendritic ulcer.</w:t>
      </w:r>
    </w:p>
    <w:p>
      <w:pPr>
        <w:keepNext w:val="0"/>
        <w:spacing w:after="60"/>
      </w:pPr>
      <w:r>
        <w:rPr>
          <w:rFonts w:ascii="Rubik" w:hAnsi="Rubik" w:eastAsia="Rubik"/>
          <w:b w:val="0"/>
        </w:rPr>
        <w:t>The dendrite with terminal bulbs and reduced sensation supports active epithelial HSV; VZV pseudodendrites generally lack classic terminal bulbs. Antiviral treatment is required and topical steroid can enlarge active epithelial ulcers, while stromal or uveitic HSV may need specialist steroid with antiviral cover.</w:t>
      </w:r>
    </w:p>
    <w:p>
      <w:pPr>
        <w:pStyle w:val="Heading2"/>
        <w:keepNext/>
        <w:pageBreakBefore/>
        <w:spacing w:after="60"/>
      </w:pPr>
      <w:r>
        <w:rPr>
          <w:rFonts w:ascii="Rubik" w:hAnsi="Rubik" w:eastAsia="Rubik"/>
          <w:b w:val="0"/>
        </w:rPr>
        <w:t>Question 05</w:t>
      </w:r>
    </w:p>
    <w:p>
      <w:pPr>
        <w:keepNext/>
        <w:spacing w:after="60"/>
      </w:pPr>
      <w:r>
        <w:rPr>
          <w:rFonts w:ascii="Rubik" w:hAnsi="Rubik" w:eastAsia="Rubik"/>
          <w:b w:val="0"/>
          <w:sz w:val="19"/>
        </w:rPr>
        <w:t>Question type: Clinical | emergency treatment</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Dev, 74, had uncomplicated cataract surgery six days ago. His vision improved initially, but over the last day he has developed increasing redness, discomfort and a rapid fall in vision despite using the prescribed postoperative drops. Acuity is now counting fingers. The cornea is oedematous, the anterior chamber contains a hypopyon, and dense vitreous inflammation prevents a clear fundal view. The wound is closed. He is afebrile and otherwise well. A colleague suggests that this is probably a sterile response to surgical materials because postoperative inflammation can produce a hypopyon. Which immediate treatment approach is most appropriate?</w:t>
      </w:r>
    </w:p>
    <w:p>
      <w:pPr>
        <w:keepNext/>
        <w:spacing w:after="60"/>
      </w:pPr>
      <w:r>
        <w:rPr>
          <w:rFonts w:ascii="Rubik" w:hAnsi="Rubik" w:eastAsia="Rubik"/>
          <w:b/>
        </w:rPr>
        <w:t>Options</w:t>
      </w:r>
    </w:p>
    <w:p>
      <w:pPr>
        <w:keepNext/>
        <w:spacing w:after="60"/>
      </w:pPr>
      <w:r>
        <w:rPr>
          <w:rFonts w:ascii="Rubik" w:hAnsi="Rubik" w:eastAsia="Rubik"/>
          <w:b w:val="0"/>
        </w:rPr>
        <w:t>a) Urgent intraocular sampling and empirical intravitreal antibiotics, with vitreoretinal assessment for possible vitrectomy.</w:t>
      </w:r>
    </w:p>
    <w:p>
      <w:pPr>
        <w:keepNext/>
        <w:spacing w:after="60"/>
      </w:pPr>
      <w:r>
        <w:rPr>
          <w:rFonts w:ascii="Rubik" w:hAnsi="Rubik" w:eastAsia="Rubik"/>
          <w:b w:val="0"/>
        </w:rPr>
        <w:t>b) Increase topical steroid alone and reassess after 48 hours to distinguish sterile from infectious inflammation.</w:t>
      </w:r>
    </w:p>
    <w:p>
      <w:pPr>
        <w:keepNext/>
        <w:spacing w:after="60"/>
      </w:pPr>
      <w:r>
        <w:rPr>
          <w:rFonts w:ascii="Rubik" w:hAnsi="Rubik" w:eastAsia="Rubik"/>
          <w:b w:val="0"/>
        </w:rPr>
        <w:t>c) Start intravenous antibiotics alone and postpone intraocular treatment until blood culture results return.</w:t>
      </w:r>
    </w:p>
    <w:p>
      <w:pPr>
        <w:keepNext/>
        <w:spacing w:after="60"/>
      </w:pPr>
      <w:r>
        <w:rPr>
          <w:rFonts w:ascii="Rubik" w:hAnsi="Rubik" w:eastAsia="Rubik"/>
          <w:b w:val="0"/>
        </w:rPr>
        <w:t>d) Use intensive topical antibiotics alone because the closed wound prevents spread to the vitreous.</w:t>
      </w:r>
    </w:p>
    <w:p>
      <w:pPr>
        <w:keepNext/>
        <w:spacing w:after="60"/>
      </w:pPr>
      <w:r>
        <w:rPr>
          <w:rFonts w:ascii="Rubik" w:hAnsi="Rubik" w:eastAsia="Rubik"/>
          <w:b w:val="0"/>
        </w:rPr>
        <w:t>e) Wait for ocular ultrasound to prove an abscess before obtaining samples or giving intraocular antibiotics.</w:t>
      </w:r>
    </w:p>
    <w:p>
      <w:pPr>
        <w:keepNext/>
        <w:spacing w:after="60"/>
      </w:pPr>
      <w:r>
        <w:rPr>
          <w:rFonts w:ascii="Rubik" w:hAnsi="Rubik" w:eastAsia="Rubik"/>
          <w:b/>
        </w:rPr>
        <w:t>Correct option: a) Urgent intraocular sampling and empirical intravitreal antibiotics, with vitreoretinal assessment for possible vitrectomy.</w:t>
      </w:r>
    </w:p>
    <w:p>
      <w:pPr>
        <w:keepNext w:val="0"/>
        <w:spacing w:after="60"/>
      </w:pPr>
      <w:r>
        <w:rPr>
          <w:rFonts w:ascii="Rubik" w:hAnsi="Rubik" w:eastAsia="Rubik"/>
          <w:b w:val="0"/>
        </w:rPr>
        <w:t>Marked visual deterioration with hypopyon and vitritis after surgery requires treatment as suspected infectious endophthalmitis: prompt intraocular sampling and intravitreal antibiotics. Vitrectomy is assessed according to severity and the specialist plan; topical or systemic antibiotics alone are inadequate.</w:t>
      </w:r>
    </w:p>
    <w:p>
      <w:pPr>
        <w:pStyle w:val="Heading2"/>
        <w:keepNext/>
        <w:pageBreakBefore/>
        <w:spacing w:after="60"/>
      </w:pPr>
      <w:r>
        <w:rPr>
          <w:rFonts w:ascii="Rubik" w:hAnsi="Rubik" w:eastAsia="Rubik"/>
          <w:b w:val="0"/>
        </w:rPr>
        <w:t>Question 06</w:t>
      </w:r>
    </w:p>
    <w:p>
      <w:pPr>
        <w:keepNext/>
        <w:spacing w:after="60"/>
      </w:pPr>
      <w:r>
        <w:rPr>
          <w:rFonts w:ascii="Rubik" w:hAnsi="Rubik" w:eastAsia="Rubik"/>
          <w:b w:val="0"/>
          <w:sz w:val="19"/>
        </w:rPr>
        <w:t>Question type: Clinical | emergency treatment sequence</w:t>
      </w:r>
    </w:p>
    <w:p>
      <w:pPr>
        <w:keepNext/>
        <w:spacing w:after="60"/>
      </w:pPr>
      <w:r>
        <w:rPr>
          <w:rFonts w:ascii="Rubik" w:hAnsi="Rubik" w:eastAsia="Rubik"/>
          <w:b w:val="0"/>
          <w:sz w:val="19"/>
        </w:rPr>
        <w:t>Topic: Glaucoma</w:t>
      </w:r>
    </w:p>
    <w:p>
      <w:pPr>
        <w:keepNext/>
        <w:spacing w:after="60"/>
      </w:pPr>
      <w:r>
        <w:rPr>
          <w:rFonts w:ascii="Rubik" w:hAnsi="Rubik" w:eastAsia="Rubik"/>
          <w:b w:val="0"/>
        </w:rPr>
        <w:t>Farah, 66, develops severe left ocular pain, haloes and vomiting after an evening in a dimly lit cinema. Acuity is 6/60, the cornea is hazy, and the pupil is mid-dilated and poorly reactive. Intraocular pressure is 58 mmHg. The peripheral chamber is shallow in both eyes, and examination supports primary pupillary block rather than a swollen lens or drug-induced effusion. She has no asthma, bradycardia, significant renal impairment or relevant drug hypersensitivity. Corneal oedema currently prevents a clear laser view. Which sequence is most appropriate while the ophthalmologist arranges definitive relief of the block?</w:t>
      </w:r>
    </w:p>
    <w:p>
      <w:pPr>
        <w:keepNext/>
        <w:spacing w:after="60"/>
      </w:pPr>
      <w:r>
        <w:rPr>
          <w:rFonts w:ascii="Rubik" w:hAnsi="Rubik" w:eastAsia="Rubik"/>
          <w:b/>
        </w:rPr>
        <w:t>Options</w:t>
      </w:r>
    </w:p>
    <w:p>
      <w:pPr>
        <w:keepNext/>
        <w:spacing w:after="60"/>
      </w:pPr>
      <w:r>
        <w:rPr>
          <w:rFonts w:ascii="Rubik" w:hAnsi="Rubik" w:eastAsia="Rubik"/>
          <w:b w:val="0"/>
        </w:rPr>
        <w:t>a) Give intensive repeated pilocarpine first; defer other pressure-lowering medication until the pupil constricts.</w:t>
      </w:r>
    </w:p>
    <w:p>
      <w:pPr>
        <w:keepNext/>
        <w:spacing w:after="60"/>
      </w:pPr>
      <w:r>
        <w:rPr>
          <w:rFonts w:ascii="Rubik" w:hAnsi="Rubik" w:eastAsia="Rubik"/>
          <w:b w:val="0"/>
        </w:rPr>
        <w:t>b) Start a once-nightly prostaglandin analogue and arrange selective laser trabeculoplasty after routine review.</w:t>
      </w:r>
    </w:p>
    <w:p>
      <w:pPr>
        <w:keepNext/>
        <w:spacing w:after="60"/>
      </w:pPr>
      <w:r>
        <w:rPr>
          <w:rFonts w:ascii="Rubik" w:hAnsi="Rubik" w:eastAsia="Rubik"/>
          <w:b w:val="0"/>
        </w:rPr>
        <w:t>c) Lower pressure promptly with appropriate topical agents and systemic acetazolamide; defer pilocarpine at this very high IOP, then perform peripheral iridotomy when feasible.</w:t>
      </w:r>
    </w:p>
    <w:p>
      <w:pPr>
        <w:keepNext/>
        <w:spacing w:after="60"/>
      </w:pPr>
      <w:r>
        <w:rPr>
          <w:rFonts w:ascii="Rubik" w:hAnsi="Rubik" w:eastAsia="Rubik"/>
          <w:b w:val="0"/>
        </w:rPr>
        <w:t>d) Start atropine and topical steroid as the initial mechanism-directed treatment, with peripheral iridotomy deferred.</w:t>
      </w:r>
    </w:p>
    <w:p>
      <w:pPr>
        <w:keepNext/>
        <w:spacing w:after="60"/>
      </w:pPr>
      <w:r>
        <w:rPr>
          <w:rFonts w:ascii="Rubik" w:hAnsi="Rubik" w:eastAsia="Rubik"/>
          <w:b w:val="0"/>
        </w:rPr>
        <w:t>e) Proceed directly to emergency trabeculectomy without attempting medical pressure reduction or relief of pupillary block.</w:t>
      </w:r>
    </w:p>
    <w:p>
      <w:pPr>
        <w:keepNext/>
        <w:spacing w:after="60"/>
      </w:pPr>
      <w:r>
        <w:rPr>
          <w:rFonts w:ascii="Rubik" w:hAnsi="Rubik" w:eastAsia="Rubik"/>
          <w:b/>
        </w:rPr>
        <w:t>Correct option: c) Lower pressure promptly with appropriate topical agents and systemic acetazolamide; defer pilocarpine at this very high IOP, then perform peripheral iridotomy when feasible.</w:t>
      </w:r>
    </w:p>
    <w:p>
      <w:pPr>
        <w:keepNext w:val="0"/>
        <w:spacing w:after="60"/>
      </w:pPr>
      <w:r>
        <w:rPr>
          <w:rFonts w:ascii="Rubik" w:hAnsi="Rubik" w:eastAsia="Rubik"/>
          <w:b w:val="0"/>
        </w:rPr>
        <w:t>A primary acute angle-closure crisis needs immediate pressure lowering and peripheral iridotomy as soon as feasible. At very high IOP, pilocarpine is deferred until pressure falls; treating secondary effusion mechanisms with this same sequence would be inappropriate.</w:t>
      </w:r>
    </w:p>
    <w:p>
      <w:pPr>
        <w:pStyle w:val="Heading2"/>
        <w:keepNext/>
        <w:pageBreakBefore/>
        <w:spacing w:after="60"/>
      </w:pPr>
      <w:r>
        <w:rPr>
          <w:rFonts w:ascii="Rubik" w:hAnsi="Rubik" w:eastAsia="Rubik"/>
          <w:b w:val="0"/>
        </w:rPr>
        <w:t>Question 07</w:t>
      </w:r>
    </w:p>
    <w:p>
      <w:pPr>
        <w:keepNext/>
        <w:spacing w:after="60"/>
      </w:pPr>
      <w:r>
        <w:rPr>
          <w:rFonts w:ascii="Rubik" w:hAnsi="Rubik" w:eastAsia="Rubik"/>
          <w:b w:val="0"/>
          <w:sz w:val="19"/>
        </w:rPr>
        <w:t>Question type: Clinical | shared initial treatment decision</w:t>
      </w:r>
    </w:p>
    <w:p>
      <w:pPr>
        <w:keepNext/>
        <w:spacing w:after="60"/>
      </w:pPr>
      <w:r>
        <w:rPr>
          <w:rFonts w:ascii="Rubik" w:hAnsi="Rubik" w:eastAsia="Rubik"/>
          <w:b w:val="0"/>
          <w:sz w:val="19"/>
        </w:rPr>
        <w:t>Topic: Glaucoma</w:t>
      </w:r>
    </w:p>
    <w:p>
      <w:pPr>
        <w:keepNext/>
        <w:spacing w:after="60"/>
      </w:pPr>
      <w:r>
        <w:rPr>
          <w:rFonts w:ascii="Rubik" w:hAnsi="Rubik" w:eastAsia="Rubik"/>
          <w:b w:val="0"/>
        </w:rPr>
        <w:t>Sofia, 62, attends a glaucoma clinic that follows NICE NG81. Repeated pressures are 27-28 mmHg, gonioscopy shows open angles, and optic nerve imaging and reliable fields demonstrate corresponding early glaucomatous loss. There is no pigment dispersion, active uveitis or advanced field damage. Severe hand arthritis makes drop instillation difficult, and her asthma requires inhalers. She has never received glaucoma treatment. After discussing benefits, risks and the possibility of later medication, she prefers a suitable treatment that can delay daily drops. Selective laser trabeculoplasty is available without a clinically significant delay. What should be offered initially?</w:t>
      </w:r>
    </w:p>
    <w:p>
      <w:pPr>
        <w:keepNext/>
        <w:spacing w:after="60"/>
      </w:pPr>
      <w:r>
        <w:rPr>
          <w:rFonts w:ascii="Rubik" w:hAnsi="Rubik" w:eastAsia="Rubik"/>
          <w:b/>
        </w:rPr>
        <w:t>Options</w:t>
      </w:r>
    </w:p>
    <w:p>
      <w:pPr>
        <w:keepNext/>
        <w:spacing w:after="60"/>
      </w:pPr>
      <w:r>
        <w:rPr>
          <w:rFonts w:ascii="Rubik" w:hAnsi="Rubik" w:eastAsia="Rubik"/>
          <w:b w:val="0"/>
        </w:rPr>
        <w:t>a) A generic prostaglandin analogue trial before discussing laser, with assisted daily instillation.</w:t>
      </w:r>
    </w:p>
    <w:p>
      <w:pPr>
        <w:keepNext/>
        <w:spacing w:after="60"/>
      </w:pPr>
      <w:r>
        <w:rPr>
          <w:rFonts w:ascii="Rubik" w:hAnsi="Rubik" w:eastAsia="Rubik"/>
          <w:b w:val="0"/>
        </w:rPr>
        <w:t>b) Timolol monotherapy twice daily, with follow-up to assess pressure response.</w:t>
      </w:r>
    </w:p>
    <w:p>
      <w:pPr>
        <w:keepNext/>
        <w:spacing w:after="60"/>
      </w:pPr>
      <w:r>
        <w:rPr>
          <w:rFonts w:ascii="Rubik" w:hAnsi="Rubik" w:eastAsia="Rubik"/>
          <w:b w:val="0"/>
        </w:rPr>
        <w:t>c) Laser peripheral iridotomy as the initial laser intervention, with follow-up gonioscopy.</w:t>
      </w:r>
    </w:p>
    <w:p>
      <w:pPr>
        <w:keepNext/>
        <w:spacing w:after="60"/>
      </w:pPr>
      <w:r>
        <w:rPr>
          <w:rFonts w:ascii="Rubik" w:hAnsi="Rubik" w:eastAsia="Rubik"/>
          <w:b w:val="0"/>
        </w:rPr>
        <w:t>d) Primary trabeculectomy to achieve a lower pressure without regular daily instillation.</w:t>
      </w:r>
    </w:p>
    <w:p>
      <w:pPr>
        <w:keepNext/>
        <w:spacing w:after="60"/>
      </w:pPr>
      <w:r>
        <w:rPr>
          <w:rFonts w:ascii="Rubik" w:hAnsi="Rubik" w:eastAsia="Rubik"/>
          <w:b w:val="0"/>
        </w:rPr>
        <w:t>e) 360° selective laser trabeculoplasty, with continued monitoring and explanation that drops may still be needed.</w:t>
      </w:r>
    </w:p>
    <w:p>
      <w:pPr>
        <w:keepNext/>
        <w:spacing w:after="60"/>
      </w:pPr>
      <w:r>
        <w:rPr>
          <w:rFonts w:ascii="Rubik" w:hAnsi="Rubik" w:eastAsia="Rubik"/>
          <w:b/>
        </w:rPr>
        <w:t>Correct option: e) 360° selective laser trabeculoplasty, with continued monitoring and explanation that drops may still be needed.</w:t>
      </w:r>
    </w:p>
    <w:p>
      <w:pPr>
        <w:keepNext w:val="0"/>
        <w:spacing w:after="60"/>
      </w:pPr>
      <w:r>
        <w:rPr>
          <w:rFonts w:ascii="Rubik" w:hAnsi="Rubik" w:eastAsia="Rubik"/>
          <w:b w:val="0"/>
        </w:rPr>
        <w:t>NICE recommends offering 360° SLT for suitable newly diagnosed nonadvanced chronic open-angle glaucoma, excluding pigment dispersion-associated cases. A prostaglandin analogue is appropriate when SLT is declined, unsuitable or insufficient, while timolol is unsuitable with asthma.</w:t>
      </w:r>
    </w:p>
    <w:p>
      <w:pPr>
        <w:pStyle w:val="Heading2"/>
        <w:keepNext/>
        <w:pageBreakBefore/>
        <w:spacing w:after="60"/>
      </w:pPr>
      <w:r>
        <w:rPr>
          <w:rFonts w:ascii="Rubik" w:hAnsi="Rubik" w:eastAsia="Rubik"/>
          <w:b w:val="0"/>
        </w:rPr>
        <w:t>Question 08</w:t>
      </w:r>
    </w:p>
    <w:p>
      <w:pPr>
        <w:keepNext/>
        <w:spacing w:after="60"/>
      </w:pPr>
      <w:r>
        <w:rPr>
          <w:rFonts w:ascii="Rubik" w:hAnsi="Rubik" w:eastAsia="Rubik"/>
          <w:b w:val="0"/>
          <w:sz w:val="19"/>
        </w:rPr>
        <w:t>Question type: Clinical | reassessment and decontamination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Arun, 31, splashes wet cement into his left eye while renovating. He immediately rinses with tap water and then receives further irrigation in the emergency department. There is no history or sign of penetrating trauma. Surface pH initially reaches 7.2. Five minutes after irrigation is paused, repeat pH is 8.5 despite an improvement in burning. After topical anaesthetic permits examination, white granules are visible in the superior conjunctival fornix. His visual acuity is reduced and formal injury grading has not yet been completed. Which action is most appropriate next to limit further tissue damage?</w:t>
      </w:r>
    </w:p>
    <w:p>
      <w:pPr>
        <w:keepNext/>
        <w:spacing w:after="60"/>
      </w:pPr>
      <w:r>
        <w:rPr>
          <w:rFonts w:ascii="Rubik" w:hAnsi="Rubik" w:eastAsia="Rubik"/>
          <w:b/>
        </w:rPr>
        <w:t>Options</w:t>
      </w:r>
    </w:p>
    <w:p>
      <w:pPr>
        <w:keepNext/>
        <w:spacing w:after="60"/>
      </w:pPr>
      <w:r>
        <w:rPr>
          <w:rFonts w:ascii="Rubik" w:hAnsi="Rubik" w:eastAsia="Rubik"/>
          <w:b w:val="0"/>
        </w:rPr>
        <w:t>a) Proceed to formal burn grading before any additional irrigation because symptoms have improved.</w:t>
      </w:r>
    </w:p>
    <w:p>
      <w:pPr>
        <w:keepNext/>
        <w:spacing w:after="60"/>
      </w:pPr>
      <w:r>
        <w:rPr>
          <w:rFonts w:ascii="Rubik" w:hAnsi="Rubik" w:eastAsia="Rubik"/>
          <w:b w:val="0"/>
        </w:rPr>
        <w:t>b) Instil a dilute acidic solution to neutralise the retained alkali without further fluid washing.</w:t>
      </w:r>
    </w:p>
    <w:p>
      <w:pPr>
        <w:keepNext/>
        <w:spacing w:after="60"/>
      </w:pPr>
      <w:r>
        <w:rPr>
          <w:rFonts w:ascii="Rubik" w:hAnsi="Rubik" w:eastAsia="Rubik"/>
          <w:b w:val="0"/>
        </w:rPr>
        <w:t>c) Start topical antibiotic ointment and cycloplegic treatment; repeat pH only at the next-day review.</w:t>
      </w:r>
    </w:p>
    <w:p>
      <w:pPr>
        <w:keepNext/>
        <w:spacing w:after="60"/>
      </w:pPr>
      <w:r>
        <w:rPr>
          <w:rFonts w:ascii="Rubik" w:hAnsi="Rubik" w:eastAsia="Rubik"/>
          <w:b w:val="0"/>
        </w:rPr>
        <w:t>d) Resume irrigation, evert and clear retained particles from the fornices, and repeat pH checks until it remains physiological.</w:t>
      </w:r>
    </w:p>
    <w:p>
      <w:pPr>
        <w:keepNext/>
        <w:spacing w:after="60"/>
      </w:pPr>
      <w:r>
        <w:rPr>
          <w:rFonts w:ascii="Rubik" w:hAnsi="Rubik" w:eastAsia="Rubik"/>
          <w:b w:val="0"/>
        </w:rPr>
        <w:t>e) Apply a pressure patch to isolate the particles from the cornea, then transfer for specialist assessment.</w:t>
      </w:r>
    </w:p>
    <w:p>
      <w:pPr>
        <w:keepNext/>
        <w:spacing w:after="60"/>
      </w:pPr>
      <w:r>
        <w:rPr>
          <w:rFonts w:ascii="Rubik" w:hAnsi="Rubik" w:eastAsia="Rubik"/>
          <w:b/>
        </w:rPr>
        <w:t>Correct option: d) Resume irrigation, evert and clear retained particles from the fornices, and repeat pH checks until it remains physiological.</w:t>
      </w:r>
    </w:p>
    <w:p>
      <w:pPr>
        <w:keepNext w:val="0"/>
        <w:spacing w:after="60"/>
      </w:pPr>
      <w:r>
        <w:rPr>
          <w:rFonts w:ascii="Rubik" w:hAnsi="Rubik" w:eastAsia="Rubik"/>
          <w:b w:val="0"/>
        </w:rPr>
        <w:t>Retained cement particles can continue releasing alkali and cause rebound pH despite initial irrigation. Remove the chemical reservoir and continue irrigation with repeat pH checks before completing severity assessment and subsequent treatment.</w:t>
      </w:r>
    </w:p>
    <w:p>
      <w:pPr>
        <w:pStyle w:val="Heading2"/>
        <w:keepNext/>
        <w:pageBreakBefore/>
        <w:spacing w:after="60"/>
      </w:pPr>
      <w:r>
        <w:rPr>
          <w:rFonts w:ascii="Rubik" w:hAnsi="Rubik" w:eastAsia="Rubik"/>
          <w:b w:val="0"/>
        </w:rPr>
        <w:t>Question 09</w:t>
      </w:r>
    </w:p>
    <w:p>
      <w:pPr>
        <w:keepNext/>
        <w:spacing w:after="60"/>
      </w:pPr>
      <w:r>
        <w:rPr>
          <w:rFonts w:ascii="Rubik" w:hAnsi="Rubik" w:eastAsia="Rubik"/>
          <w:b w:val="0"/>
          <w:sz w:val="19"/>
        </w:rPr>
        <w:t>Question type: Clinical | next-step management</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Zay, aged 69, suddenly loses vision in one eye 75 minutes before arrival. There is no eye pain, weakness or speech disturbance. Acuity is hand movements, a relative afferent pupillary defect is present, and IOP is 16 mmHg. The fundus is shown. He has atrial fibrillation but stopped anticoagulation recently. He denies jaw claudication or a new headache. Which action should take priority?</w:t>
      </w:r>
    </w:p>
    <w:p>
      <w:pPr>
        <w:keepNext/>
        <w:jc w:val="center"/>
      </w:pPr>
      <w:r>
        <w:drawing>
          <wp:inline xmlns:a="http://schemas.openxmlformats.org/drawingml/2006/main" xmlns:pic="http://schemas.openxmlformats.org/drawingml/2006/picture">
            <wp:extent cx="1850469" cy="1737360"/>
            <wp:docPr id="1" name="Picture 1"/>
            <wp:cNvGraphicFramePr>
              <a:graphicFrameLocks noChangeAspect="1"/>
            </wp:cNvGraphicFramePr>
            <a:graphic>
              <a:graphicData uri="http://schemas.openxmlformats.org/drawingml/2006/picture">
                <pic:pic>
                  <pic:nvPicPr>
                    <pic:cNvPr id="0" name="Mamalis_retina_9.jpg"/>
                    <pic:cNvPicPr/>
                  </pic:nvPicPr>
                  <pic:blipFill>
                    <a:blip r:embed="rId11"/>
                    <a:stretch>
                      <a:fillRect/>
                    </a:stretch>
                  </pic:blipFill>
                  <pic:spPr>
                    <a:xfrm>
                      <a:off x="0" y="0"/>
                      <a:ext cx="1850469" cy="1737360"/>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Immediate transfer to a stroke-capable emergency department</w:t>
      </w:r>
    </w:p>
    <w:p>
      <w:pPr>
        <w:keepNext/>
        <w:spacing w:after="60"/>
      </w:pPr>
      <w:r>
        <w:rPr>
          <w:rFonts w:ascii="Rubik" w:hAnsi="Rubik" w:eastAsia="Rubik"/>
          <w:b w:val="0"/>
        </w:rPr>
        <w:t>b) Outpatient carotid ultrasound within the next week</w:t>
      </w:r>
    </w:p>
    <w:p>
      <w:pPr>
        <w:keepNext/>
        <w:spacing w:after="60"/>
      </w:pPr>
      <w:r>
        <w:rPr>
          <w:rFonts w:ascii="Rubik" w:hAnsi="Rubik" w:eastAsia="Rubik"/>
          <w:b w:val="0"/>
        </w:rPr>
        <w:t>c) Perform ocular massage and anterior-chamber paracentesis before arranging transfer</w:t>
      </w:r>
    </w:p>
    <w:p>
      <w:pPr>
        <w:keepNext/>
        <w:spacing w:after="60"/>
      </w:pPr>
      <w:r>
        <w:rPr>
          <w:rFonts w:ascii="Rubik" w:hAnsi="Rubik" w:eastAsia="Rubik"/>
          <w:b w:val="0"/>
        </w:rPr>
        <w:t>d) Start aspirin and arrange outpatient stroke investigations tomorrow</w:t>
      </w:r>
    </w:p>
    <w:p>
      <w:pPr>
        <w:keepNext/>
        <w:spacing w:after="60"/>
      </w:pPr>
      <w:r>
        <w:rPr>
          <w:rFonts w:ascii="Rubik" w:hAnsi="Rubik" w:eastAsia="Rubik"/>
          <w:b w:val="0"/>
        </w:rPr>
        <w:t>e) Routine retina clinic review after fluorescein angiography</w:t>
      </w:r>
    </w:p>
    <w:p>
      <w:pPr>
        <w:keepNext/>
        <w:spacing w:after="60"/>
      </w:pPr>
      <w:r>
        <w:rPr>
          <w:rFonts w:ascii="Rubik" w:hAnsi="Rubik" w:eastAsia="Rubik"/>
          <w:b/>
        </w:rPr>
        <w:t>Correct option: a) Immediate transfer to a stroke-capable emergency department</w:t>
      </w:r>
    </w:p>
    <w:p>
      <w:pPr>
        <w:keepNext w:val="0"/>
        <w:spacing w:after="60"/>
      </w:pPr>
      <w:r>
        <w:rPr>
          <w:rFonts w:ascii="Rubik" w:hAnsi="Rubik" w:eastAsia="Rubik"/>
          <w:b w:val="0"/>
        </w:rPr>
        <w:t>Acute retinal artery occlusion is an ischaemic stroke emergency requiring immediate stroke-centre assessment even without other neurological deficits. Record last-known-well time; ocular massage or delayed outpatient imaging must not postpone the pathway.</w:t>
      </w:r>
    </w:p>
    <w:p>
      <w:pPr>
        <w:pStyle w:val="Heading2"/>
        <w:keepNext/>
        <w:pageBreakBefore/>
        <w:spacing w:after="60"/>
      </w:pPr>
      <w:r>
        <w:rPr>
          <w:rFonts w:ascii="Rubik" w:hAnsi="Rubik" w:eastAsia="Rubik"/>
          <w:b w:val="0"/>
        </w:rPr>
        <w:t>Question 10</w:t>
      </w:r>
    </w:p>
    <w:p>
      <w:pPr>
        <w:keepNext/>
        <w:spacing w:after="60"/>
      </w:pPr>
      <w:r>
        <w:rPr>
          <w:rFonts w:ascii="Rubik" w:hAnsi="Rubik" w:eastAsia="Rubik"/>
          <w:b w:val="0"/>
          <w:sz w:val="19"/>
        </w:rPr>
        <w:t>Question type: Clinical | diagnosis and management</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Imran, aged 62, has two weeks of painless monocular blur. The fundus photograph is shown; macular OCT also demonstrates centre-involving cystoid oedema. Acuity is 6/36, IOP is 17 mmHg, and iris examination and gonioscopy show no new vessels. He can attend repeated reviews. The retina team judges macular oedema to be the main reversible contributor to his current loss. Which diagnosis and initial ocular treatment best explain and address his present visual loss?</w:t>
      </w:r>
    </w:p>
    <w:p>
      <w:pPr>
        <w:keepNext/>
        <w:jc w:val="center"/>
      </w:pPr>
      <w:r>
        <w:drawing>
          <wp:inline xmlns:a="http://schemas.openxmlformats.org/drawingml/2006/main" xmlns:pic="http://schemas.openxmlformats.org/drawingml/2006/picture">
            <wp:extent cx="2168225" cy="1737360"/>
            <wp:docPr id="2" name="Picture 2"/>
            <wp:cNvGraphicFramePr>
              <a:graphicFrameLocks noChangeAspect="1"/>
            </wp:cNvGraphicFramePr>
            <a:graphic>
              <a:graphicData uri="http://schemas.openxmlformats.org/drawingml/2006/picture">
                <pic:pic>
                  <pic:nvPicPr>
                    <pic:cNvPr id="0" name="big_55590ee180e14.jpg"/>
                    <pic:cNvPicPr/>
                  </pic:nvPicPr>
                  <pic:blipFill>
                    <a:blip r:embed="rId12"/>
                    <a:stretch>
                      <a:fillRect/>
                    </a:stretch>
                  </pic:blipFill>
                  <pic:spPr>
                    <a:xfrm>
                      <a:off x="0" y="0"/>
                      <a:ext cx="2168225" cy="1737360"/>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Branch retinal vein occlusion; intravitreal anti-VEGF</w:t>
      </w:r>
    </w:p>
    <w:p>
      <w:pPr>
        <w:keepNext/>
        <w:spacing w:after="60"/>
      </w:pPr>
      <w:r>
        <w:rPr>
          <w:rFonts w:ascii="Rubik" w:hAnsi="Rubik" w:eastAsia="Rubik"/>
          <w:b w:val="0"/>
        </w:rPr>
        <w:t>b) Central retinal vein occlusion; intravitreal anti-VEGF</w:t>
      </w:r>
    </w:p>
    <w:p>
      <w:pPr>
        <w:keepNext/>
        <w:spacing w:after="60"/>
      </w:pPr>
      <w:r>
        <w:rPr>
          <w:rFonts w:ascii="Rubik" w:hAnsi="Rubik" w:eastAsia="Rubik"/>
          <w:b w:val="0"/>
        </w:rPr>
        <w:t>c) Proliferative diabetic retinopathy; panretinal photocoagulation</w:t>
      </w:r>
    </w:p>
    <w:p>
      <w:pPr>
        <w:keepNext/>
        <w:spacing w:after="60"/>
      </w:pPr>
      <w:r>
        <w:rPr>
          <w:rFonts w:ascii="Rubik" w:hAnsi="Rubik" w:eastAsia="Rubik"/>
          <w:b w:val="0"/>
        </w:rPr>
        <w:t>d) Central retinal vein occlusion; panretinal photocoagulation</w:t>
      </w:r>
    </w:p>
    <w:p>
      <w:pPr>
        <w:keepNext/>
        <w:spacing w:after="60"/>
      </w:pPr>
      <w:r>
        <w:rPr>
          <w:rFonts w:ascii="Rubik" w:hAnsi="Rubik" w:eastAsia="Rubik"/>
          <w:b w:val="0"/>
        </w:rPr>
        <w:t>e) Arteritic anterior ischaemic optic neuropathy; systemic corticosteroids</w:t>
      </w:r>
    </w:p>
    <w:p>
      <w:pPr>
        <w:keepNext/>
        <w:spacing w:after="60"/>
      </w:pPr>
      <w:r>
        <w:rPr>
          <w:rFonts w:ascii="Rubik" w:hAnsi="Rubik" w:eastAsia="Rubik"/>
          <w:b/>
        </w:rPr>
        <w:t>Correct option: b) Central retinal vein occlusion; intravitreal anti-VEGF</w:t>
      </w:r>
    </w:p>
    <w:p>
      <w:pPr>
        <w:keepNext w:val="0"/>
        <w:spacing w:after="60"/>
      </w:pPr>
      <w:r>
        <w:rPr>
          <w:rFonts w:ascii="Rubik" w:hAnsi="Rubik" w:eastAsia="Rubik"/>
          <w:b w:val="0"/>
        </w:rPr>
        <w:t>The diffuse haemorrhagic fundus pattern indicates CRVO, and anti-VEGF treats its vision-limiting macular oedema. PRP targets neovascular complications rather than serving as routine treatment for CRVO-related oedema.</w:t>
      </w:r>
    </w:p>
    <w:p>
      <w:pPr>
        <w:pStyle w:val="Heading2"/>
        <w:keepNext/>
        <w:pageBreakBefore/>
        <w:spacing w:after="60"/>
      </w:pPr>
      <w:r>
        <w:rPr>
          <w:rFonts w:ascii="Rubik" w:hAnsi="Rubik" w:eastAsia="Rubik"/>
          <w:b w:val="0"/>
        </w:rPr>
        <w:t>Question 11</w:t>
      </w:r>
    </w:p>
    <w:p>
      <w:pPr>
        <w:keepNext/>
        <w:spacing w:after="60"/>
      </w:pPr>
      <w:r>
        <w:rPr>
          <w:rFonts w:ascii="Rubik" w:hAnsi="Rubik" w:eastAsia="Rubik"/>
          <w:b w:val="0"/>
          <w:sz w:val="19"/>
        </w:rPr>
        <w:t>Question type: Clinical | next-step management</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Nadia, aged 48, has longstanding diabetes and the fundus appearance shown. The retina specialist confirms disc neovascularisation exceeding one-quarter disc area. Acuity remains 6/9, macular OCT shows no centre-involving oedema, and there is no traction threatening the macula. She works overseas for months at a time and has repeatedly missed appointments. She can remain locally long enough to complete laser treatment. Which plan best addresses her sight-threatening disease and attendance pattern?</w:t>
      </w:r>
    </w:p>
    <w:p>
      <w:pPr>
        <w:keepNext/>
        <w:jc w:val="center"/>
      </w:pPr>
      <w:r>
        <w:drawing>
          <wp:inline xmlns:a="http://schemas.openxmlformats.org/drawingml/2006/main" xmlns:pic="http://schemas.openxmlformats.org/drawingml/2006/picture">
            <wp:extent cx="2651211" cy="1737360"/>
            <wp:docPr id="3" name="Picture 3"/>
            <wp:cNvGraphicFramePr>
              <a:graphicFrameLocks noChangeAspect="1"/>
            </wp:cNvGraphicFramePr>
            <a:graphic>
              <a:graphicData uri="http://schemas.openxmlformats.org/drawingml/2006/picture">
                <pic:pic>
                  <pic:nvPicPr>
                    <pic:cNvPr id="0" name="big_632c2c1e687b06.82258709.jpg"/>
                    <pic:cNvPicPr/>
                  </pic:nvPicPr>
                  <pic:blipFill>
                    <a:blip r:embed="rId13"/>
                    <a:stretch>
                      <a:fillRect/>
                    </a:stretch>
                  </pic:blipFill>
                  <pic:spPr>
                    <a:xfrm>
                      <a:off x="0" y="0"/>
                      <a:ext cx="2651211" cy="1737360"/>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Annual screening because central acuity is preserved</w:t>
      </w:r>
    </w:p>
    <w:p>
      <w:pPr>
        <w:keepNext/>
        <w:spacing w:after="60"/>
      </w:pPr>
      <w:r>
        <w:rPr>
          <w:rFonts w:ascii="Rubik" w:hAnsi="Rubik" w:eastAsia="Rubik"/>
          <w:b w:val="0"/>
        </w:rPr>
        <w:t>b) Focal macular laser directed only at microaneurysms</w:t>
      </w:r>
    </w:p>
    <w:p>
      <w:pPr>
        <w:keepNext/>
        <w:spacing w:after="60"/>
      </w:pPr>
      <w:r>
        <w:rPr>
          <w:rFonts w:ascii="Rubik" w:hAnsi="Rubik" w:eastAsia="Rubik"/>
          <w:b w:val="0"/>
        </w:rPr>
        <w:t>c) Anti-VEGF once, followed by review only if she develops symptoms</w:t>
      </w:r>
    </w:p>
    <w:p>
      <w:pPr>
        <w:keepNext/>
        <w:spacing w:after="60"/>
      </w:pPr>
      <w:r>
        <w:rPr>
          <w:rFonts w:ascii="Rubik" w:hAnsi="Rubik" w:eastAsia="Rubik"/>
          <w:b w:val="0"/>
        </w:rPr>
        <w:t>d) Prompt panretinal photocoagulation with arranged retinal follow-up</w:t>
      </w:r>
    </w:p>
    <w:p>
      <w:pPr>
        <w:keepNext/>
        <w:spacing w:after="60"/>
      </w:pPr>
      <w:r>
        <w:rPr>
          <w:rFonts w:ascii="Rubik" w:hAnsi="Rubik" w:eastAsia="Rubik"/>
          <w:b w:val="0"/>
        </w:rPr>
        <w:t>e) Vitrectomy to remove the neovascular membrane as the primary intervention</w:t>
      </w:r>
    </w:p>
    <w:p>
      <w:pPr>
        <w:keepNext/>
        <w:spacing w:after="60"/>
      </w:pPr>
      <w:r>
        <w:rPr>
          <w:rFonts w:ascii="Rubik" w:hAnsi="Rubik" w:eastAsia="Rubik"/>
          <w:b/>
        </w:rPr>
        <w:t>Correct option: d) Prompt panretinal photocoagulation with arranged retinal follow-up</w:t>
      </w:r>
    </w:p>
    <w:p>
      <w:pPr>
        <w:keepNext w:val="0"/>
        <w:spacing w:after="60"/>
      </w:pPr>
      <w:r>
        <w:rPr>
          <w:rFonts w:ascii="Rubik" w:hAnsi="Rubik" w:eastAsia="Rubik"/>
          <w:b w:val="0"/>
        </w:rPr>
        <w:t>Disc neovascularisation of this extent establishes high-risk PDR despite good acuity. PRP provides a durable effect and is especially appropriate when reliable repeated anti-VEGF attendance cannot be maintained, although continued follow-up remains necessary.</w:t>
      </w:r>
    </w:p>
    <w:p>
      <w:pPr>
        <w:pStyle w:val="Heading2"/>
        <w:keepNext/>
        <w:pageBreakBefore/>
        <w:spacing w:after="60"/>
      </w:pPr>
      <w:r>
        <w:rPr>
          <w:rFonts w:ascii="Rubik" w:hAnsi="Rubik" w:eastAsia="Rubik"/>
          <w:b w:val="0"/>
        </w:rPr>
        <w:t>Question 12</w:t>
      </w:r>
    </w:p>
    <w:p>
      <w:pPr>
        <w:keepNext/>
        <w:spacing w:after="60"/>
      </w:pPr>
      <w:r>
        <w:rPr>
          <w:rFonts w:ascii="Rubik" w:hAnsi="Rubik" w:eastAsia="Rubik"/>
          <w:b w:val="0"/>
          <w:sz w:val="19"/>
        </w:rPr>
        <w:t>Question type: Clinical | investigation selection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Mei, aged 77, notices that straight lines look bent through one eye over five days. She has known macular drusen and now has acuity of 6/30 with the fundus finding shown. There is no ocular pain, vitreous inflammation or peripheral curtain. The local macula pathway offers urgent review. No retinal imaging has yet been performed. Which investigation should normally come first to assess suspected active neovascular disease?</w:t>
      </w:r>
    </w:p>
    <w:p>
      <w:pPr>
        <w:keepNext/>
        <w:jc w:val="center"/>
      </w:pPr>
      <w:r>
        <w:drawing>
          <wp:inline xmlns:a="http://schemas.openxmlformats.org/drawingml/2006/main" xmlns:pic="http://schemas.openxmlformats.org/drawingml/2006/picture">
            <wp:extent cx="1901778" cy="1737359"/>
            <wp:docPr id="4" name="Picture 4"/>
            <wp:cNvGraphicFramePr>
              <a:graphicFrameLocks noChangeAspect="1"/>
            </wp:cNvGraphicFramePr>
            <a:graphic>
              <a:graphicData uri="http://schemas.openxmlformats.org/drawingml/2006/picture">
                <pic:pic>
                  <pic:nvPicPr>
                    <pic:cNvPr id="0" name="IMG_4065.jpg"/>
                    <pic:cNvPicPr/>
                  </pic:nvPicPr>
                  <pic:blipFill>
                    <a:blip r:embed="rId14"/>
                    <a:stretch>
                      <a:fillRect/>
                    </a:stretch>
                  </pic:blipFill>
                  <pic:spPr>
                    <a:xfrm>
                      <a:off x="0" y="0"/>
                      <a:ext cx="1901778" cy="1737359"/>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Fundus autofluorescence to map macular atrophy</w:t>
      </w:r>
    </w:p>
    <w:p>
      <w:pPr>
        <w:keepNext/>
        <w:spacing w:after="60"/>
      </w:pPr>
      <w:r>
        <w:rPr>
          <w:rFonts w:ascii="Rubik" w:hAnsi="Rubik" w:eastAsia="Rubik"/>
          <w:b w:val="0"/>
        </w:rPr>
        <w:t>b) Indocyanine-green angiography to map the choroidal vessels</w:t>
      </w:r>
    </w:p>
    <w:p>
      <w:pPr>
        <w:keepNext/>
        <w:spacing w:after="60"/>
      </w:pPr>
      <w:r>
        <w:rPr>
          <w:rFonts w:ascii="Rubik" w:hAnsi="Rubik" w:eastAsia="Rubik"/>
          <w:b w:val="0"/>
        </w:rPr>
        <w:t>c) Macular OCT to assess retinal fluid and structural change</w:t>
      </w:r>
    </w:p>
    <w:p>
      <w:pPr>
        <w:keepNext/>
        <w:spacing w:after="60"/>
      </w:pPr>
      <w:r>
        <w:rPr>
          <w:rFonts w:ascii="Rubik" w:hAnsi="Rubik" w:eastAsia="Rubik"/>
          <w:b w:val="0"/>
        </w:rPr>
        <w:t>d) Fluorescein angiography to define the neovascular leakage pattern</w:t>
      </w:r>
    </w:p>
    <w:p>
      <w:pPr>
        <w:keepNext/>
        <w:spacing w:after="60"/>
      </w:pPr>
      <w:r>
        <w:rPr>
          <w:rFonts w:ascii="Rubik" w:hAnsi="Rubik" w:eastAsia="Rubik"/>
          <w:b/>
        </w:rPr>
        <w:t>Correct option: c) Macular OCT to assess retinal fluid and structural change</w:t>
      </w:r>
    </w:p>
    <w:p>
      <w:pPr>
        <w:keepNext w:val="0"/>
        <w:spacing w:after="60"/>
      </w:pPr>
      <w:r>
        <w:rPr>
          <w:rFonts w:ascii="Rubik" w:hAnsi="Rubik" w:eastAsia="Rubik"/>
          <w:b w:val="0"/>
        </w:rPr>
        <w:t>New distortion with macular haemorrhage warrants urgent assessment for neovascular AMD, with OCT as the initial structural investigation. Fluorescein angiography is added when examination and OCT do not exclude neovascular disease.</w:t>
      </w:r>
    </w:p>
    <w:p>
      <w:pPr>
        <w:pStyle w:val="Heading2"/>
        <w:keepNext/>
        <w:pageBreakBefore/>
        <w:spacing w:after="60"/>
      </w:pPr>
      <w:r>
        <w:rPr>
          <w:rFonts w:ascii="Rubik" w:hAnsi="Rubik" w:eastAsia="Rubik"/>
          <w:b w:val="0"/>
        </w:rPr>
        <w:t>Question 13</w:t>
      </w:r>
    </w:p>
    <w:p>
      <w:pPr>
        <w:keepNext/>
        <w:spacing w:after="60"/>
      </w:pPr>
      <w:r>
        <w:rPr>
          <w:rFonts w:ascii="Rubik" w:hAnsi="Rubik" w:eastAsia="Rubik"/>
          <w:b w:val="0"/>
          <w:sz w:val="19"/>
        </w:rPr>
        <w:t>Question type: Clinical | urgency and triage</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Elias, aged 55 with high myopia, develops flashes followed by a widening peripheral shadow. Acuity is still 6/6. Dilated peripheral examination shows the lesion in the photograph, while separate macular OCT confirms that the fovea remains attached. He asks whether normal reading vision means it is safe to wait until his annual appointment. Which response best reflects the clinical priority?</w:t>
      </w:r>
    </w:p>
    <w:p>
      <w:pPr>
        <w:keepNext/>
        <w:jc w:val="center"/>
      </w:pPr>
      <w:r>
        <w:drawing>
          <wp:inline xmlns:a="http://schemas.openxmlformats.org/drawingml/2006/main" xmlns:pic="http://schemas.openxmlformats.org/drawingml/2006/picture">
            <wp:extent cx="2005833" cy="1737360"/>
            <wp:docPr id="5" name="Picture 5"/>
            <wp:cNvGraphicFramePr>
              <a:graphicFrameLocks noChangeAspect="1"/>
            </wp:cNvGraphicFramePr>
            <a:graphic>
              <a:graphicData uri="http://schemas.openxmlformats.org/drawingml/2006/picture">
                <pic:pic>
                  <pic:nvPicPr>
                    <pic:cNvPr id="0" name="Rhegmatogenous-retinal-detachment-HST.jpg"/>
                    <pic:cNvPicPr/>
                  </pic:nvPicPr>
                  <pic:blipFill>
                    <a:blip r:embed="rId15"/>
                    <a:stretch>
                      <a:fillRect/>
                    </a:stretch>
                  </pic:blipFill>
                  <pic:spPr>
                    <a:xfrm>
                      <a:off x="0" y="0"/>
                      <a:ext cx="2005833" cy="1737360"/>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Arrange routine retinal review in two weeks while central acuity remains normal</w:t>
      </w:r>
    </w:p>
    <w:p>
      <w:pPr>
        <w:keepNext/>
        <w:spacing w:after="60"/>
      </w:pPr>
      <w:r>
        <w:rPr>
          <w:rFonts w:ascii="Rubik" w:hAnsi="Rubik" w:eastAsia="Rubik"/>
          <w:b w:val="0"/>
        </w:rPr>
        <w:t>b) Refer urgently only if repeat OCT shows that the fovea has detached</w:t>
      </w:r>
    </w:p>
    <w:p>
      <w:pPr>
        <w:keepNext/>
        <w:spacing w:after="60"/>
      </w:pPr>
      <w:r>
        <w:rPr>
          <w:rFonts w:ascii="Rubik" w:hAnsi="Rubik" w:eastAsia="Rubik"/>
          <w:b w:val="0"/>
        </w:rPr>
        <w:t>c) Use retinal precautions and scheduled PVD follow-up without surgical referral</w:t>
      </w:r>
    </w:p>
    <w:p>
      <w:pPr>
        <w:keepNext/>
        <w:spacing w:after="60"/>
      </w:pPr>
      <w:r>
        <w:rPr>
          <w:rFonts w:ascii="Rubik" w:hAnsi="Rubik" w:eastAsia="Rubik"/>
          <w:b w:val="0"/>
        </w:rPr>
        <w:t>d) Arrange same-day vitreoretinal assessment to plan timely repair</w:t>
      </w:r>
    </w:p>
    <w:p>
      <w:pPr>
        <w:keepNext/>
        <w:spacing w:after="60"/>
      </w:pPr>
      <w:r>
        <w:rPr>
          <w:rFonts w:ascii="Rubik" w:hAnsi="Rubik" w:eastAsia="Rubik"/>
          <w:b/>
        </w:rPr>
        <w:t>Correct option: d) Arrange same-day vitreoretinal assessment to plan timely repair</w:t>
      </w:r>
    </w:p>
    <w:p>
      <w:pPr>
        <w:keepNext w:val="0"/>
        <w:spacing w:after="60"/>
      </w:pPr>
      <w:r>
        <w:rPr>
          <w:rFonts w:ascii="Rubik" w:hAnsi="Rubik" w:eastAsia="Rubik"/>
          <w:b w:val="0"/>
        </w:rPr>
        <w:t>A retinal break with detachment is an urgent vitreoretinal problem, and an attached fovea explains the preserved central acuity. Same-day assessment protects the macula and allows the specialist to determine repair timing.</w:t>
      </w:r>
    </w:p>
    <w:p>
      <w:pPr>
        <w:pStyle w:val="Heading2"/>
        <w:keepNext/>
        <w:pageBreakBefore/>
        <w:spacing w:after="60"/>
      </w:pPr>
      <w:r>
        <w:rPr>
          <w:rFonts w:ascii="Rubik" w:hAnsi="Rubik" w:eastAsia="Rubik"/>
          <w:b w:val="0"/>
        </w:rPr>
        <w:t>Question 14</w:t>
      </w:r>
    </w:p>
    <w:p>
      <w:pPr>
        <w:keepNext/>
        <w:spacing w:after="60"/>
      </w:pPr>
      <w:r>
        <w:rPr>
          <w:rFonts w:ascii="Rubik" w:hAnsi="Rubik" w:eastAsia="Rubik"/>
          <w:b w:val="0"/>
          <w:sz w:val="19"/>
        </w:rPr>
        <w:t>Question type: Clinical | investigation selection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Farah, aged 61 with high myopia, was examined six days ago for new flashes and floaters. The ring-like opacity shown was noted, and a complete dilated examination then found no tear. She was given a follow-up appointment in six weeks. Today she develops many additional floaters and more frequent flashes, although acuity remains 6/6 and she reports no curtain. Which plan best addresses this change?</w:t>
      </w:r>
    </w:p>
    <w:p>
      <w:pPr>
        <w:keepNext/>
        <w:jc w:val="center"/>
      </w:pPr>
      <w:r>
        <w:drawing>
          <wp:inline xmlns:a="http://schemas.openxmlformats.org/drawingml/2006/main" xmlns:pic="http://schemas.openxmlformats.org/drawingml/2006/picture">
            <wp:extent cx="3487750" cy="1737360"/>
            <wp:docPr id="6" name="Picture 6"/>
            <wp:cNvGraphicFramePr>
              <a:graphicFrameLocks noChangeAspect="1"/>
            </wp:cNvGraphicFramePr>
            <a:graphic>
              <a:graphicData uri="http://schemas.openxmlformats.org/drawingml/2006/picture">
                <pic:pic>
                  <pic:nvPicPr>
                    <pic:cNvPr id="0" name="paste-107b4e2658ca66979cb3741badc31eb3a5a453fc.jpg"/>
                    <pic:cNvPicPr/>
                  </pic:nvPicPr>
                  <pic:blipFill>
                    <a:blip r:embed="rId16"/>
                    <a:stretch>
                      <a:fillRect/>
                    </a:stretch>
                  </pic:blipFill>
                  <pic:spPr>
                    <a:xfrm>
                      <a:off x="0" y="0"/>
                      <a:ext cx="3487750" cy="1737360"/>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Keep the six-week appointment because the first peripheral examination was negative</w:t>
      </w:r>
    </w:p>
    <w:p>
      <w:pPr>
        <w:keepNext/>
        <w:spacing w:after="60"/>
      </w:pPr>
      <w:r>
        <w:rPr>
          <w:rFonts w:ascii="Rubik" w:hAnsi="Rubik" w:eastAsia="Rubik"/>
          <w:b w:val="0"/>
        </w:rPr>
        <w:t>b) Arrange prompt repeat dilated peripheral retinal assessment</w:t>
      </w:r>
    </w:p>
    <w:p>
      <w:pPr>
        <w:keepNext/>
        <w:spacing w:after="60"/>
      </w:pPr>
      <w:r>
        <w:rPr>
          <w:rFonts w:ascii="Rubik" w:hAnsi="Rubik" w:eastAsia="Rubik"/>
          <w:b w:val="0"/>
        </w:rPr>
        <w:t>c) Obtain macular OCT next week and re-examine the periphery only if it is abnormal</w:t>
      </w:r>
    </w:p>
    <w:p>
      <w:pPr>
        <w:keepNext/>
        <w:spacing w:after="60"/>
      </w:pPr>
      <w:r>
        <w:rPr>
          <w:rFonts w:ascii="Rubik" w:hAnsi="Rubik" w:eastAsia="Rubik"/>
          <w:b w:val="0"/>
        </w:rPr>
        <w:t>d) Laser all peripheral lattice immediately without reassessing for a new tear</w:t>
      </w:r>
    </w:p>
    <w:p>
      <w:pPr>
        <w:keepNext/>
        <w:spacing w:after="60"/>
      </w:pPr>
      <w:r>
        <w:rPr>
          <w:rFonts w:ascii="Rubik" w:hAnsi="Rubik" w:eastAsia="Rubik"/>
          <w:b/>
        </w:rPr>
        <w:t>Correct option: b) Arrange prompt repeat dilated peripheral retinal assessment</w:t>
      </w:r>
    </w:p>
    <w:p>
      <w:pPr>
        <w:keepNext w:val="0"/>
        <w:spacing w:after="60"/>
      </w:pPr>
      <w:r>
        <w:rPr>
          <w:rFonts w:ascii="Rubik" w:hAnsi="Rubik" w:eastAsia="Rubik"/>
          <w:b w:val="0"/>
        </w:rPr>
        <w:t>A retinal tear can develop during evolving PVD after an initially negative examination, and increased flashes or floaters require prompt reassessment. Preserved acuity and no curtain do not exclude a peripheral break.</w:t>
      </w:r>
    </w:p>
    <w:p>
      <w:pPr>
        <w:pStyle w:val="Heading2"/>
        <w:keepNext/>
        <w:pageBreakBefore/>
        <w:spacing w:after="60"/>
      </w:pPr>
      <w:r>
        <w:rPr>
          <w:rFonts w:ascii="Rubik" w:hAnsi="Rubik" w:eastAsia="Rubik"/>
          <w:b w:val="0"/>
        </w:rPr>
        <w:t>Question 15</w:t>
      </w:r>
    </w:p>
    <w:p>
      <w:pPr>
        <w:keepNext/>
        <w:spacing w:after="60"/>
      </w:pPr>
      <w:r>
        <w:rPr>
          <w:rFonts w:ascii="Rubik" w:hAnsi="Rubik" w:eastAsia="Rubik"/>
          <w:b w:val="0"/>
          <w:sz w:val="19"/>
        </w:rPr>
        <w:t>Question type: Clinical | investigation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Farid, 58, has well-controlled diabetes and hypertension. Over one day he develops left peri-orbital aching, double vision and a drooping upper lid. With the lid lifted, the left eye abducts normally but adduction, elevation and depression are incomplete. Both pupils measure 3 mm and react briskly in bright light. Acuity is unchanged; there is no proptosis, disc swelling or other neurological deficit. He has never had this problem before. A colleague proposes observing a presumed diabetic palsy because the pupil is spared. Which next step is most appropriate?</w:t>
      </w:r>
    </w:p>
    <w:p>
      <w:pPr>
        <w:keepNext/>
        <w:spacing w:after="60"/>
      </w:pPr>
      <w:r>
        <w:rPr>
          <w:rFonts w:ascii="Rubik" w:hAnsi="Rubik" w:eastAsia="Rubik"/>
          <w:b/>
        </w:rPr>
        <w:t>Options</w:t>
      </w:r>
    </w:p>
    <w:p>
      <w:pPr>
        <w:keepNext/>
        <w:spacing w:after="60"/>
      </w:pPr>
      <w:r>
        <w:rPr>
          <w:rFonts w:ascii="Rubik" w:hAnsi="Rubik" w:eastAsia="Rubik"/>
          <w:b w:val="0"/>
        </w:rPr>
        <w:t>a) Observe with serial pupil checks and arrange imaging only if there is no recovery after several weeks.</w:t>
      </w:r>
    </w:p>
    <w:p>
      <w:pPr>
        <w:keepNext/>
        <w:spacing w:after="60"/>
      </w:pPr>
      <w:r>
        <w:rPr>
          <w:rFonts w:ascii="Rubik" w:hAnsi="Rubik" w:eastAsia="Rubik"/>
          <w:b w:val="0"/>
        </w:rPr>
        <w:t>b) Arrange urgent CTA or MRA with specialist assessment to exclude an aneurysm or another compressive cause.</w:t>
      </w:r>
    </w:p>
    <w:p>
      <w:pPr>
        <w:keepNext/>
        <w:spacing w:after="60"/>
      </w:pPr>
      <w:r>
        <w:rPr>
          <w:rFonts w:ascii="Rubik" w:hAnsi="Rubik" w:eastAsia="Rubik"/>
          <w:b w:val="0"/>
        </w:rPr>
        <w:t>c) Obtain a non-contrast head CT alone and defer vascular imaging if no intracranial haemorrhage is found.</w:t>
      </w:r>
    </w:p>
    <w:p>
      <w:pPr>
        <w:keepNext/>
        <w:spacing w:after="60"/>
      </w:pPr>
      <w:r>
        <w:rPr>
          <w:rFonts w:ascii="Rubik" w:hAnsi="Rubik" w:eastAsia="Rubik"/>
          <w:b w:val="0"/>
        </w:rPr>
        <w:t>d) Request acetylcholine-receptor antibodies first and postpone brain imaging while assessing for ocular myasthenia.</w:t>
      </w:r>
    </w:p>
    <w:p>
      <w:pPr>
        <w:keepNext/>
        <w:spacing w:after="60"/>
      </w:pPr>
      <w:r>
        <w:rPr>
          <w:rFonts w:ascii="Rubik" w:hAnsi="Rubik" w:eastAsia="Rubik"/>
          <w:b/>
        </w:rPr>
        <w:t>Correct option: b) Arrange urgent CTA or MRA with specialist assessment to exclude an aneurysm or another compressive cause.</w:t>
      </w:r>
    </w:p>
    <w:p>
      <w:pPr>
        <w:keepNext w:val="0"/>
        <w:spacing w:after="60"/>
      </w:pPr>
      <w:r>
        <w:rPr>
          <w:rFonts w:ascii="Rubik" w:hAnsi="Rubik" w:eastAsia="Rubik"/>
          <w:b w:val="0"/>
        </w:rPr>
        <w:t>Pupil sparing does not safely exclude aneurysmal compression, especially in a partial acute III palsy. Urgent vascular imaging is appropriate despite vascular risk factors and apparently normal pupil reactions.</w:t>
      </w:r>
    </w:p>
    <w:p>
      <w:pPr>
        <w:pStyle w:val="Heading2"/>
        <w:keepNext/>
        <w:pageBreakBefore/>
        <w:spacing w:after="60"/>
      </w:pPr>
      <w:r>
        <w:rPr>
          <w:rFonts w:ascii="Rubik" w:hAnsi="Rubik" w:eastAsia="Rubik"/>
          <w:b w:val="0"/>
        </w:rPr>
        <w:t>Question 16</w:t>
      </w:r>
    </w:p>
    <w:p>
      <w:pPr>
        <w:keepNext/>
        <w:spacing w:after="60"/>
      </w:pPr>
      <w:r>
        <w:rPr>
          <w:rFonts w:ascii="Rubik" w:hAnsi="Rubik" w:eastAsia="Rubik"/>
          <w:b w:val="0"/>
          <w:sz w:val="19"/>
        </w:rPr>
        <w:t>Question type: Clinical | next management</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Mei, 8, started oral antibiotics yesterday for a swollen eyelid after sinusitis. Today she has a temperature of 39 degrees C, increasing lid oedema and pain when attempting to look upwards. The lids are too swollen to obtain reliable acuity, pupil or complete motility measurements, and no confident assessment of proptosis is possible. She is alert but looks unwell. Her parent asks whether another day of oral treatment will allow the swelling to settle enough for examination. Which management plan best addresses the uncertainty?</w:t>
      </w:r>
    </w:p>
    <w:p>
      <w:pPr>
        <w:keepNext/>
        <w:spacing w:after="60"/>
      </w:pPr>
      <w:r>
        <w:rPr>
          <w:rFonts w:ascii="Rubik" w:hAnsi="Rubik" w:eastAsia="Rubik"/>
          <w:b/>
        </w:rPr>
        <w:t>Options</w:t>
      </w:r>
    </w:p>
    <w:p>
      <w:pPr>
        <w:keepNext/>
        <w:spacing w:after="60"/>
      </w:pPr>
      <w:r>
        <w:rPr>
          <w:rFonts w:ascii="Rubik" w:hAnsi="Rubik" w:eastAsia="Rubik"/>
          <w:b w:val="0"/>
        </w:rPr>
        <w:t>a) Change to a broader oral antibiotic and re-examine tomorrow once the lids are easier to open.</w:t>
      </w:r>
    </w:p>
    <w:p>
      <w:pPr>
        <w:keepNext/>
        <w:spacing w:after="60"/>
      </w:pPr>
      <w:r>
        <w:rPr>
          <w:rFonts w:ascii="Rubik" w:hAnsi="Rubik" w:eastAsia="Rubik"/>
          <w:b w:val="0"/>
        </w:rPr>
        <w:t>b) Arrange outpatient orbital CT but continue oral therapy at home while awaiting the result.</w:t>
      </w:r>
    </w:p>
    <w:p>
      <w:pPr>
        <w:keepNext/>
        <w:spacing w:after="60"/>
      </w:pPr>
      <w:r>
        <w:rPr>
          <w:rFonts w:ascii="Rubik" w:hAnsi="Rubik" w:eastAsia="Rubik"/>
          <w:b w:val="0"/>
        </w:rPr>
        <w:t>c) Admit for IV antibiotics but defer imaging and specialist consultation until treatment has failed for 72 hours.</w:t>
      </w:r>
    </w:p>
    <w:p>
      <w:pPr>
        <w:keepNext/>
        <w:spacing w:after="60"/>
      </w:pPr>
      <w:r>
        <w:rPr>
          <w:rFonts w:ascii="Rubik" w:hAnsi="Rubik" w:eastAsia="Rubik"/>
          <w:b w:val="0"/>
        </w:rPr>
        <w:t>d) Admit for IV antibiotics, urgent ophthalmology/ENT review and urgent contrast CT of the orbits and sinuses.</w:t>
      </w:r>
    </w:p>
    <w:p>
      <w:pPr>
        <w:keepNext/>
        <w:spacing w:after="60"/>
      </w:pPr>
      <w:r>
        <w:rPr>
          <w:rFonts w:ascii="Rubik" w:hAnsi="Rubik" w:eastAsia="Rubik"/>
          <w:b/>
        </w:rPr>
        <w:t>Correct option: d) Admit for IV antibiotics, urgent ophthalmology/ENT review and urgent contrast CT of the orbits and sinuses.</w:t>
      </w:r>
    </w:p>
    <w:p>
      <w:pPr>
        <w:keepNext w:val="0"/>
        <w:spacing w:after="60"/>
      </w:pPr>
      <w:r>
        <w:rPr>
          <w:rFonts w:ascii="Rubik" w:hAnsi="Rubik" w:eastAsia="Rubik"/>
          <w:b w:val="0"/>
        </w:rPr>
        <w:t>Pain on attempted eye movement, systemic illness and an unreliable eye examination prevent safe exclusion of orbital cellulitis. Urgent hospital treatment and imaging assess postseptal spread and abscess rather than waiting for a complete bedside examination.</w:t>
      </w:r>
    </w:p>
    <w:p>
      <w:pPr>
        <w:pStyle w:val="Heading2"/>
        <w:keepNext/>
        <w:pageBreakBefore/>
        <w:spacing w:after="60"/>
      </w:pPr>
      <w:r>
        <w:rPr>
          <w:rFonts w:ascii="Rubik" w:hAnsi="Rubik" w:eastAsia="Rubik"/>
          <w:b w:val="0"/>
        </w:rPr>
        <w:t>Question 17</w:t>
      </w:r>
    </w:p>
    <w:p>
      <w:pPr>
        <w:keepNext/>
        <w:spacing w:after="60"/>
      </w:pPr>
      <w:r>
        <w:rPr>
          <w:rFonts w:ascii="Rubik" w:hAnsi="Rubik" w:eastAsia="Rubik"/>
          <w:b w:val="0"/>
          <w:sz w:val="19"/>
        </w:rPr>
        <w:t>Question type: Clinical | investigation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Anika, 26, has three weeks of headache, pulse-synchronous tinnitus and brief dimming of vision on standing. BMI is 34, blood pressure is normal, and both optic discs are swollen; visual fields show enlarged blind spots. Apart from a mild abduction deficit, the neurological examination is normal. MRI brain shows no mass or hydrocephalus and a partly empty sella, but no venous sequences were acquired. She recently began an oestrogen-containing contraceptive. The team is preparing a lumbar puncture to confirm presumed idiopathic intracranial hypertension. What should be obtained first?</w:t>
      </w:r>
    </w:p>
    <w:p>
      <w:pPr>
        <w:keepNext/>
        <w:spacing w:after="60"/>
      </w:pPr>
      <w:r>
        <w:rPr>
          <w:rFonts w:ascii="Rubik" w:hAnsi="Rubik" w:eastAsia="Rubik"/>
          <w:b/>
        </w:rPr>
        <w:t>Options</w:t>
      </w:r>
    </w:p>
    <w:p>
      <w:pPr>
        <w:keepNext/>
        <w:spacing w:after="60"/>
      </w:pPr>
      <w:r>
        <w:rPr>
          <w:rFonts w:ascii="Rubik" w:hAnsi="Rubik" w:eastAsia="Rubik"/>
          <w:b w:val="0"/>
        </w:rPr>
        <w:t>a) MR or CT venography to exclude cerebral venous sinus thrombosis.</w:t>
      </w:r>
    </w:p>
    <w:p>
      <w:pPr>
        <w:keepNext/>
        <w:spacing w:after="60"/>
      </w:pPr>
      <w:r>
        <w:rPr>
          <w:rFonts w:ascii="Rubik" w:hAnsi="Rubik" w:eastAsia="Rubik"/>
          <w:b w:val="0"/>
        </w:rPr>
        <w:t>b) Immediate lumbar puncture because a normal structural MRI has excluded all important secondary causes.</w:t>
      </w:r>
    </w:p>
    <w:p>
      <w:pPr>
        <w:keepNext/>
        <w:spacing w:after="60"/>
      </w:pPr>
      <w:r>
        <w:rPr>
          <w:rFonts w:ascii="Rubik" w:hAnsi="Rubik" w:eastAsia="Rubik"/>
          <w:b w:val="0"/>
        </w:rPr>
        <w:t>c) Obtain contrast MRI of the orbits first to establish bilateral optic neuritis before considering other intracranial investigations.</w:t>
      </w:r>
    </w:p>
    <w:p>
      <w:pPr>
        <w:keepNext/>
        <w:spacing w:after="60"/>
      </w:pPr>
      <w:r>
        <w:rPr>
          <w:rFonts w:ascii="Rubik" w:hAnsi="Rubik" w:eastAsia="Rubik"/>
          <w:b w:val="0"/>
        </w:rPr>
        <w:t>d) Use enhanced-depth optic-disc OCT and ultrasound to exclude buried drusen, postponing further intracranial investigation.</w:t>
      </w:r>
    </w:p>
    <w:p>
      <w:pPr>
        <w:keepNext/>
        <w:spacing w:after="60"/>
      </w:pPr>
      <w:r>
        <w:rPr>
          <w:rFonts w:ascii="Rubik" w:hAnsi="Rubik" w:eastAsia="Rubik"/>
          <w:b/>
        </w:rPr>
        <w:t>Correct option: a) MR or CT venography to exclude cerebral venous sinus thrombosis.</w:t>
      </w:r>
    </w:p>
    <w:p>
      <w:pPr>
        <w:keepNext w:val="0"/>
        <w:spacing w:after="60"/>
      </w:pPr>
      <w:r>
        <w:rPr>
          <w:rFonts w:ascii="Rubik" w:hAnsi="Rubik" w:eastAsia="Rubik"/>
          <w:b w:val="0"/>
        </w:rPr>
        <w:t>Venous sinus thrombosis can mimic IIH and is not excluded by structural MRI or an empty sella. Venography should complete the imaging assessment before LP and before labelling the raised pressure idiopathic.</w:t>
      </w:r>
    </w:p>
    <w:p>
      <w:pPr>
        <w:pStyle w:val="Heading2"/>
        <w:keepNext/>
        <w:pageBreakBefore/>
        <w:spacing w:after="60"/>
      </w:pPr>
      <w:r>
        <w:rPr>
          <w:rFonts w:ascii="Rubik" w:hAnsi="Rubik" w:eastAsia="Rubik"/>
          <w:b w:val="0"/>
        </w:rPr>
        <w:t>Question 18</w:t>
      </w:r>
    </w:p>
    <w:p>
      <w:pPr>
        <w:keepNext/>
        <w:spacing w:after="60"/>
      </w:pPr>
      <w:r>
        <w:rPr>
          <w:rFonts w:ascii="Rubik" w:hAnsi="Rubik" w:eastAsia="Rubik"/>
          <w:b w:val="0"/>
          <w:sz w:val="19"/>
        </w:rPr>
        <w:t>Question type: Clinical | next management</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Dara, 72, regained good vision after uncomplicated cataract extraction with an intraocular lens two years ago. During the last four months she has developed painless haze and disabling glare in that eye. Updated refraction gives little improvement. The cornea is clear, the implant is centred and transparent, pressure is normal, and there are no anterior chamber cells. Retroillumination shows a central fibrotic opacity behind the implant; macular OCT and retinal examination do not explain the visual deficit. Which treatment most directly addresses the demonstrated cause?</w:t>
      </w:r>
    </w:p>
    <w:p>
      <w:pPr>
        <w:keepNext/>
        <w:spacing w:after="60"/>
      </w:pPr>
      <w:r>
        <w:rPr>
          <w:rFonts w:ascii="Rubik" w:hAnsi="Rubik" w:eastAsia="Rubik"/>
          <w:b/>
        </w:rPr>
        <w:t>Options</w:t>
      </w:r>
    </w:p>
    <w:p>
      <w:pPr>
        <w:keepNext/>
        <w:spacing w:after="60"/>
      </w:pPr>
      <w:r>
        <w:rPr>
          <w:rFonts w:ascii="Rubik" w:hAnsi="Rubik" w:eastAsia="Rubik"/>
          <w:b w:val="0"/>
        </w:rPr>
        <w:t>a) Exchange the clear intraocular lens for a higher-power implant.</w:t>
      </w:r>
    </w:p>
    <w:p>
      <w:pPr>
        <w:keepNext/>
        <w:spacing w:after="60"/>
      </w:pPr>
      <w:r>
        <w:rPr>
          <w:rFonts w:ascii="Rubik" w:hAnsi="Rubik" w:eastAsia="Rubik"/>
          <w:b w:val="0"/>
        </w:rPr>
        <w:t>b) Give intravitreal anti-VEGF treatment for occult macular vascular leakage.</w:t>
      </w:r>
    </w:p>
    <w:p>
      <w:pPr>
        <w:keepNext/>
        <w:spacing w:after="60"/>
      </w:pPr>
      <w:r>
        <w:rPr>
          <w:rFonts w:ascii="Rubik" w:hAnsi="Rubik" w:eastAsia="Rubik"/>
          <w:b w:val="0"/>
        </w:rPr>
        <w:t>c) Arrange Nd:YAG laser posterior capsulotomy after ophthalmic assessment and counselling.</w:t>
      </w:r>
    </w:p>
    <w:p>
      <w:pPr>
        <w:keepNext/>
        <w:spacing w:after="60"/>
      </w:pPr>
      <w:r>
        <w:rPr>
          <w:rFonts w:ascii="Rubik" w:hAnsi="Rubik" w:eastAsia="Rubik"/>
          <w:b w:val="0"/>
        </w:rPr>
        <w:t>d) Treat with topical corticosteroids for presumed postoperative cystoid macular oedema.</w:t>
      </w:r>
    </w:p>
    <w:p>
      <w:pPr>
        <w:keepNext/>
        <w:spacing w:after="60"/>
      </w:pPr>
      <w:r>
        <w:rPr>
          <w:rFonts w:ascii="Rubik" w:hAnsi="Rubik" w:eastAsia="Rubik"/>
          <w:b/>
        </w:rPr>
        <w:t>Correct option: c) Arrange Nd:YAG laser posterior capsulotomy after ophthalmic assessment and counselling.</w:t>
      </w:r>
    </w:p>
    <w:p>
      <w:pPr>
        <w:keepNext w:val="0"/>
        <w:spacing w:after="60"/>
      </w:pPr>
      <w:r>
        <w:rPr>
          <w:rFonts w:ascii="Rubik" w:hAnsi="Rubik" w:eastAsia="Rubik"/>
          <w:b w:val="0"/>
        </w:rPr>
        <w:t>Visually significant posterior capsule opacification behind a clear IOL is treated with posterior capsulotomy, commonly using Nd:YAG laser. The examination has excluded refractive, inflammatory and macular explanations that would require a different treatment.</w:t>
      </w:r>
    </w:p>
    <w:p>
      <w:pPr>
        <w:pStyle w:val="Heading2"/>
        <w:keepNext/>
        <w:pageBreakBefore/>
        <w:spacing w:after="60"/>
      </w:pPr>
      <w:r>
        <w:rPr>
          <w:rFonts w:ascii="Rubik" w:hAnsi="Rubik" w:eastAsia="Rubik"/>
          <w:b w:val="0"/>
        </w:rPr>
        <w:t>Question 19</w:t>
      </w:r>
    </w:p>
    <w:p>
      <w:pPr>
        <w:keepNext/>
        <w:spacing w:after="60"/>
      </w:pPr>
      <w:r>
        <w:rPr>
          <w:rFonts w:ascii="Rubik" w:hAnsi="Rubik" w:eastAsia="Rubik"/>
          <w:b w:val="0"/>
          <w:sz w:val="19"/>
        </w:rPr>
        <w:t>Question type: Clinical | investigation</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Rafi, 20 months, is referred after several photographs show a white right pupil and the eye begins turning inward. The lens is clear. Dilated specialist examination and ultrasound reveal a solid retinal mass with internal calcification; the other eye appears normal. There is no family history of childhood eye cancer. His parents ask whether the team needs a needle sample before deciding what the lesion is, as happened when an adult relative had a different cancer. Which diagnostic plan is most appropriate?</w:t>
      </w:r>
    </w:p>
    <w:p>
      <w:pPr>
        <w:keepNext/>
        <w:spacing w:after="60"/>
      </w:pPr>
      <w:r>
        <w:rPr>
          <w:rFonts w:ascii="Rubik" w:hAnsi="Rubik" w:eastAsia="Rubik"/>
          <w:b/>
        </w:rPr>
        <w:t>Options</w:t>
      </w:r>
    </w:p>
    <w:p>
      <w:pPr>
        <w:keepNext/>
        <w:spacing w:after="60"/>
      </w:pPr>
      <w:r>
        <w:rPr>
          <w:rFonts w:ascii="Rubik" w:hAnsi="Rubik" w:eastAsia="Rubik"/>
          <w:b w:val="0"/>
        </w:rPr>
        <w:t>a) Perform an intraocular fine-needle biopsy before arranging further tumour assessment.</w:t>
      </w:r>
    </w:p>
    <w:p>
      <w:pPr>
        <w:keepNext/>
        <w:spacing w:after="60"/>
      </w:pPr>
      <w:r>
        <w:rPr>
          <w:rFonts w:ascii="Rubik" w:hAnsi="Rubik" w:eastAsia="Rubik"/>
          <w:b w:val="0"/>
        </w:rPr>
        <w:t>b) Refer to ocular oncology for examination under anaesthesia as needed and MRI of the orbits/brain, without routine intraocular biopsy.</w:t>
      </w:r>
    </w:p>
    <w:p>
      <w:pPr>
        <w:keepNext/>
        <w:spacing w:after="60"/>
      </w:pPr>
      <w:r>
        <w:rPr>
          <w:rFonts w:ascii="Rubik" w:hAnsi="Rubik" w:eastAsia="Rubik"/>
          <w:b w:val="0"/>
        </w:rPr>
        <w:t>c) Obtain RB1 genetic testing first and defer ocular staging unless a pathogenic germline variant is detected.</w:t>
      </w:r>
    </w:p>
    <w:p>
      <w:pPr>
        <w:keepNext/>
        <w:spacing w:after="60"/>
      </w:pPr>
      <w:r>
        <w:rPr>
          <w:rFonts w:ascii="Rubik" w:hAnsi="Rubik" w:eastAsia="Rubik"/>
          <w:b w:val="0"/>
        </w:rPr>
        <w:t>d) Use orbital CT as the sole diagnostic and staging study, without further examination or MRI.</w:t>
      </w:r>
    </w:p>
    <w:p>
      <w:pPr>
        <w:keepNext/>
        <w:spacing w:after="60"/>
      </w:pPr>
      <w:r>
        <w:rPr>
          <w:rFonts w:ascii="Rubik" w:hAnsi="Rubik" w:eastAsia="Rubik"/>
          <w:b/>
        </w:rPr>
        <w:t>Correct option: b) Refer to ocular oncology for examination under anaesthesia as needed and MRI of the orbits/brain, without routine intraocular biopsy.</w:t>
      </w:r>
    </w:p>
    <w:p>
      <w:pPr>
        <w:keepNext w:val="0"/>
        <w:spacing w:after="60"/>
      </w:pPr>
      <w:r>
        <w:rPr>
          <w:rFonts w:ascii="Rubik" w:hAnsi="Rubik" w:eastAsia="Rubik"/>
          <w:b w:val="0"/>
        </w:rPr>
        <w:t>A calcified retinal mass with leukocoria in a young child strongly suggests retinoblastoma, usually diagnosed clinically with imaging. Specialist examination and MRI assess extent; routine intraocular biopsy is avoided because it can spread tumour outside the eye.</w:t>
      </w:r>
    </w:p>
    <w:p>
      <w:pPr>
        <w:pStyle w:val="Heading2"/>
        <w:keepNext/>
        <w:pageBreakBefore/>
        <w:spacing w:after="60"/>
      </w:pPr>
      <w:r>
        <w:rPr>
          <w:rFonts w:ascii="Rubik" w:hAnsi="Rubik" w:eastAsia="Rubik"/>
          <w:b w:val="0"/>
        </w:rPr>
        <w:t>Question 20</w:t>
      </w:r>
    </w:p>
    <w:p>
      <w:pPr>
        <w:keepNext/>
        <w:spacing w:after="60"/>
      </w:pPr>
      <w:r>
        <w:rPr>
          <w:rFonts w:ascii="Rubik" w:hAnsi="Rubik" w:eastAsia="Rubik"/>
          <w:b w:val="0"/>
          <w:sz w:val="19"/>
        </w:rPr>
        <w:t>Question type: Clinical | diagnosis</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Leena, 64, has had watering of the left eye for six months. Over two days a painful red swelling develops below the medial canthus, followed by fever and surrounding lid erythema. Gentle pressure produces purulent reflux through the punctum. Acuity is unchanged, pupils are normal, and eye movements remain full and painless without proptosis. She is haemodynamically stable. A routine tear-duct procedure had previously been planned for the chronic watering. Which diagnosis best explains the localised swelling and punctal reflux?</w:t>
      </w:r>
    </w:p>
    <w:p>
      <w:pPr>
        <w:keepNext/>
        <w:spacing w:after="60"/>
      </w:pPr>
      <w:r>
        <w:rPr>
          <w:rFonts w:ascii="Rubik" w:hAnsi="Rubik" w:eastAsia="Rubik"/>
          <w:b/>
        </w:rPr>
        <w:t>Options</w:t>
      </w:r>
    </w:p>
    <w:p>
      <w:pPr>
        <w:keepNext/>
        <w:spacing w:after="60"/>
      </w:pPr>
      <w:r>
        <w:rPr>
          <w:rFonts w:ascii="Rubik" w:hAnsi="Rubik" w:eastAsia="Rubik"/>
          <w:b w:val="0"/>
        </w:rPr>
        <w:t>a) Canaliculitis</w:t>
      </w:r>
    </w:p>
    <w:p>
      <w:pPr>
        <w:keepNext/>
        <w:spacing w:after="60"/>
      </w:pPr>
      <w:r>
        <w:rPr>
          <w:rFonts w:ascii="Rubik" w:hAnsi="Rubik" w:eastAsia="Rubik"/>
          <w:b w:val="0"/>
        </w:rPr>
        <w:t>b) Acute dacryoadenitis</w:t>
      </w:r>
    </w:p>
    <w:p>
      <w:pPr>
        <w:keepNext/>
        <w:spacing w:after="60"/>
      </w:pPr>
      <w:r>
        <w:rPr>
          <w:rFonts w:ascii="Rubik" w:hAnsi="Rubik" w:eastAsia="Rubik"/>
          <w:b w:val="0"/>
        </w:rPr>
        <w:t>c) Internal hordeolum</w:t>
      </w:r>
    </w:p>
    <w:p>
      <w:pPr>
        <w:keepNext/>
        <w:spacing w:after="60"/>
      </w:pPr>
      <w:r>
        <w:rPr>
          <w:rFonts w:ascii="Rubik" w:hAnsi="Rubik" w:eastAsia="Rubik"/>
          <w:b w:val="0"/>
        </w:rPr>
        <w:t>d) Acute dacryocystitis</w:t>
      </w:r>
    </w:p>
    <w:p>
      <w:pPr>
        <w:keepNext/>
        <w:spacing w:after="60"/>
      </w:pPr>
      <w:r>
        <w:rPr>
          <w:rFonts w:ascii="Rubik" w:hAnsi="Rubik" w:eastAsia="Rubik"/>
          <w:b w:val="0"/>
        </w:rPr>
        <w:t>e) Preseptal cellulitis without lacrimal-sac infection</w:t>
      </w:r>
    </w:p>
    <w:p>
      <w:pPr>
        <w:keepNext/>
        <w:spacing w:after="60"/>
      </w:pPr>
      <w:r>
        <w:rPr>
          <w:rFonts w:ascii="Rubik" w:hAnsi="Rubik" w:eastAsia="Rubik"/>
          <w:b/>
        </w:rPr>
        <w:t>Correct option: d) Acute dacryocystitis</w:t>
      </w:r>
    </w:p>
    <w:p>
      <w:pPr>
        <w:keepNext w:val="0"/>
        <w:spacing w:after="60"/>
      </w:pPr>
      <w:r>
        <w:rPr>
          <w:rFonts w:ascii="Rubik" w:hAnsi="Rubik" w:eastAsia="Rubik"/>
          <w:b w:val="0"/>
        </w:rPr>
        <w:t>Tender swelling below the medial canthus with purulent punctal reflux localises infection to the lacrimal sac, indicating acute dacryocystitis. Prompt systemic antibiotics and ophthalmic assessment are needed, with IV treatment/admission when severe or spreading.</w:t>
      </w:r>
    </w:p>
    <w:p>
      <w:pPr>
        <w:pStyle w:val="Heading1"/>
        <w:keepNext/>
        <w:pageBreakBefore/>
        <w:spacing w:after="60"/>
      </w:pPr>
      <w:r>
        <w:rPr>
          <w:rFonts w:ascii="Rubik" w:hAnsi="Rubik" w:eastAsia="Rubik"/>
          <w:b w:val="0"/>
        </w:rPr>
        <w:t>Clinical Sources and References</w:t>
      </w:r>
    </w:p>
    <w:p>
      <w:pPr>
        <w:keepNext w:val="0"/>
        <w:spacing w:after="60"/>
      </w:pPr>
      <w:r>
        <w:rPr>
          <w:rFonts w:ascii="Rubik" w:hAnsi="Rubik" w:eastAsia="Rubik"/>
          <w:b w:val="0"/>
          <w:sz w:val="21"/>
        </w:rPr>
        <w:t>The cases are newly written teaching scenarios based on the supplied clinical resources. Clinical source labels distinguish them from the earlier preclinical pack; original files are retained. Current guidance resolves conflicting or outdated management claims.</w:t>
      </w:r>
    </w:p>
    <w:p>
      <w:pPr>
        <w:pStyle w:val="Heading2"/>
        <w:keepNext/>
        <w:spacing w:after="60"/>
      </w:pPr>
      <w:r>
        <w:rPr>
          <w:rFonts w:ascii="Rubik" w:hAnsi="Rubik" w:eastAsia="Rubik"/>
          <w:b w:val="0"/>
        </w:rPr>
        <w:t>Supplied Clinical Resources</w:t>
      </w:r>
    </w:p>
    <w:p>
      <w:pPr>
        <w:keepNext w:val="0"/>
        <w:spacing w:after="60"/>
      </w:pPr>
      <w:r>
        <w:rPr>
          <w:rFonts w:ascii="Rubik" w:hAnsi="Rubik" w:eastAsia="Rubik"/>
          <w:b w:val="0"/>
          <w:sz w:val="19"/>
        </w:rPr>
        <w:t>Clinical 01 Quiz Series | Quiz Series.pdf</w:t>
      </w:r>
    </w:p>
    <w:p>
      <w:pPr>
        <w:keepNext w:val="0"/>
        <w:spacing w:after="60"/>
      </w:pPr>
      <w:r>
        <w:rPr>
          <w:rFonts w:ascii="Rubik" w:hAnsi="Rubik" w:eastAsia="Rubik"/>
          <w:b w:val="0"/>
          <w:sz w:val="19"/>
        </w:rPr>
        <w:t>Clinical 02 Qbank Sheet1 | Qbank - Sheet1.pdf</w:t>
      </w:r>
    </w:p>
    <w:p>
      <w:pPr>
        <w:keepNext w:val="0"/>
        <w:spacing w:after="60"/>
      </w:pPr>
      <w:r>
        <w:rPr>
          <w:rFonts w:ascii="Rubik" w:hAnsi="Rubik" w:eastAsia="Rubik"/>
          <w:b w:val="0"/>
          <w:sz w:val="19"/>
        </w:rPr>
        <w:t>Clinical 03 Anki M3 Ophthalmology | M3__3-Short Postings (Ashley)__SP - Ophthalmology.apkg</w:t>
      </w:r>
    </w:p>
    <w:p>
      <w:pPr>
        <w:keepNext w:val="0"/>
        <w:spacing w:after="60"/>
      </w:pPr>
      <w:r>
        <w:rPr>
          <w:rFonts w:ascii="Rubik" w:hAnsi="Rubik" w:eastAsia="Rubik"/>
          <w:b w:val="0"/>
          <w:sz w:val="19"/>
        </w:rPr>
        <w:t>Clinical 04 Prior 100 MCQ | Clinical_ophthalmology_100_M3_M5_MCQ.docx</w:t>
      </w:r>
    </w:p>
    <w:p>
      <w:pPr>
        <w:keepNext w:val="0"/>
        <w:spacing w:after="60"/>
      </w:pPr>
      <w:r>
        <w:rPr>
          <w:rFonts w:ascii="Rubik" w:hAnsi="Rubik" w:eastAsia="Rubik"/>
          <w:b w:val="0"/>
          <w:sz w:val="19"/>
        </w:rPr>
        <w:t>Clinical 05 Amboss Questions | Amboss Questions.docx</w:t>
      </w:r>
    </w:p>
    <w:p>
      <w:pPr>
        <w:keepNext w:val="0"/>
        <w:spacing w:after="60"/>
      </w:pPr>
      <w:r>
        <w:rPr>
          <w:rFonts w:ascii="Rubik" w:hAnsi="Rubik" w:eastAsia="Rubik"/>
          <w:b w:val="0"/>
          <w:sz w:val="19"/>
        </w:rPr>
        <w:t>Clinical 06 Senior Eye Notes | Eye (Elijah, largely adapted from Jin Wei) edited 2020-06-22.docx</w:t>
      </w:r>
    </w:p>
    <w:p>
      <w:pPr>
        <w:keepNext w:val="0"/>
        <w:spacing w:after="60"/>
      </w:pPr>
      <w:r>
        <w:rPr>
          <w:rFonts w:ascii="Rubik" w:hAnsi="Rubik" w:eastAsia="Rubik"/>
          <w:b w:val="0"/>
          <w:sz w:val="19"/>
        </w:rPr>
        <w:t>Clinical 07 Mega WITI M3 | Mega-WITI (M3 20_21).xlsx</w:t>
      </w:r>
    </w:p>
    <w:p>
      <w:pPr>
        <w:keepNext w:val="0"/>
        <w:spacing w:after="60"/>
      </w:pPr>
      <w:r>
        <w:rPr>
          <w:rFonts w:ascii="Rubik" w:hAnsi="Rubik" w:eastAsia="Rubik"/>
          <w:b w:val="0"/>
          <w:sz w:val="19"/>
        </w:rPr>
        <w:t>Clinical 08 EOP Quiz | Eye M3 EOP Quiz 1 Stream.pdf</w:t>
      </w:r>
    </w:p>
    <w:p>
      <w:pPr>
        <w:pStyle w:val="Heading2"/>
        <w:keepNext/>
        <w:spacing w:after="60"/>
      </w:pPr>
      <w:r>
        <w:rPr>
          <w:rFonts w:ascii="Rubik" w:hAnsi="Rubik" w:eastAsia="Rubik"/>
          <w:b w:val="0"/>
        </w:rPr>
        <w:t>Fundus Figure Map</w:t>
      </w:r>
    </w:p>
    <w:p>
      <w:pPr>
        <w:keepNext w:val="0"/>
        <w:spacing w:after="60"/>
      </w:pPr>
      <w:r>
        <w:rPr>
          <w:rFonts w:ascii="Rubik" w:hAnsi="Rubik" w:eastAsia="Rubik"/>
          <w:b w:val="0"/>
          <w:sz w:val="19"/>
        </w:rPr>
        <w:t>Q09 | Mamalis_retina_9.jpg | note_id 1701955579890, media_index 187, filename Mamalis_retina_9.jpg</w:t>
      </w:r>
    </w:p>
    <w:p>
      <w:pPr>
        <w:keepNext w:val="0"/>
        <w:spacing w:after="60"/>
      </w:pPr>
      <w:r>
        <w:rPr>
          <w:rFonts w:ascii="Rubik" w:hAnsi="Rubik" w:eastAsia="Rubik"/>
          <w:b w:val="0"/>
          <w:sz w:val="19"/>
        </w:rPr>
        <w:t>Q10 | big_55590ee180e14.jpg | note_id 1701955825342, media_index 133, filename big_55590ee180e14.jpg</w:t>
      </w:r>
    </w:p>
    <w:p>
      <w:pPr>
        <w:keepNext w:val="0"/>
        <w:spacing w:after="60"/>
      </w:pPr>
      <w:r>
        <w:rPr>
          <w:rFonts w:ascii="Rubik" w:hAnsi="Rubik" w:eastAsia="Rubik"/>
          <w:b w:val="0"/>
          <w:sz w:val="19"/>
        </w:rPr>
        <w:t>Q11 | big_632c2c1e687b06.82258709.jpg | note_id 1701958349343, media_index 48, filename big_632c2c1e687b06.82258709.jpg</w:t>
      </w:r>
    </w:p>
    <w:p>
      <w:pPr>
        <w:keepNext w:val="0"/>
        <w:spacing w:after="60"/>
      </w:pPr>
      <w:r>
        <w:rPr>
          <w:rFonts w:ascii="Rubik" w:hAnsi="Rubik" w:eastAsia="Rubik"/>
          <w:b w:val="0"/>
          <w:sz w:val="19"/>
        </w:rPr>
        <w:t>Q12 | IMG_4065.jpg | note_id 1703855609752, media_index 299, filename IMG_4065.jpg</w:t>
      </w:r>
    </w:p>
    <w:p>
      <w:pPr>
        <w:keepNext w:val="0"/>
        <w:spacing w:after="60"/>
      </w:pPr>
      <w:r>
        <w:rPr>
          <w:rFonts w:ascii="Rubik" w:hAnsi="Rubik" w:eastAsia="Rubik"/>
          <w:b w:val="0"/>
          <w:sz w:val="19"/>
        </w:rPr>
        <w:t>Q13 | Rhegmatogenous-retinal-detachment-HST.jpg | note_id 1701964641689, media_index 161, filename Rhegmatogenous-retinal-detachment-HST.jpg</w:t>
      </w:r>
    </w:p>
    <w:p>
      <w:pPr>
        <w:keepNext w:val="0"/>
        <w:spacing w:after="60"/>
      </w:pPr>
      <w:r>
        <w:rPr>
          <w:rFonts w:ascii="Rubik" w:hAnsi="Rubik" w:eastAsia="Rubik"/>
          <w:b w:val="0"/>
          <w:sz w:val="19"/>
        </w:rPr>
        <w:t>Q14 | paste-107b4e2658ca66979cb3741badc31eb3a5a453fc.jpg | note_id 1701965077738, media_index 181, filename paste-107b4e2658ca66979cb3741badc31eb3a5a453fc.jpg</w:t>
      </w:r>
    </w:p>
    <w:p>
      <w:pPr>
        <w:pStyle w:val="Heading2"/>
        <w:keepNext/>
        <w:spacing w:after="60"/>
      </w:pPr>
      <w:r>
        <w:rPr>
          <w:rFonts w:ascii="Rubik" w:hAnsi="Rubik" w:eastAsia="Rubik"/>
          <w:b w:val="0"/>
        </w:rPr>
        <w:t>Clinical Guidance</w:t>
      </w:r>
    </w:p>
    <w:p>
      <w:pPr>
        <w:spacing w:after="80"/>
      </w:pPr>
      <w:hyperlink r:id="rId17">
        <w:r>
          <w:rPr>
            <w:rFonts w:ascii="Rubik" w:hAnsi="Rubik"/>
            <w:sz w:val="19"/>
            <w:color w:val="275F69"/>
          </w:rPr>
          <w:t>Q01 | ACR VF giant cell arteritis guideline</w:t>
        </w:r>
      </w:hyperlink>
    </w:p>
    <w:p>
      <w:pPr>
        <w:spacing w:after="80"/>
      </w:pPr>
      <w:hyperlink r:id="rId18">
        <w:r>
          <w:rPr>
            <w:rFonts w:ascii="Rubik" w:hAnsi="Rubik"/>
            <w:sz w:val="19"/>
            <w:color w:val="275F69"/>
          </w:rPr>
          <w:t>Q02 | NICE NG128 TIA pathway</w:t>
        </w:r>
      </w:hyperlink>
    </w:p>
    <w:p>
      <w:pPr>
        <w:spacing w:after="80"/>
      </w:pPr>
      <w:hyperlink r:id="rId19">
        <w:r>
          <w:rPr>
            <w:rFonts w:ascii="Rubik" w:hAnsi="Rubik"/>
            <w:sz w:val="19"/>
            <w:color w:val="275F69"/>
          </w:rPr>
          <w:t>Q03 | AAO EyeWiki | Bacterial keratitis</w:t>
        </w:r>
      </w:hyperlink>
    </w:p>
    <w:p>
      <w:pPr>
        <w:spacing w:after="80"/>
      </w:pPr>
      <w:hyperlink r:id="rId20">
        <w:r>
          <w:rPr>
            <w:rFonts w:ascii="Rubik" w:hAnsi="Rubik"/>
            <w:sz w:val="19"/>
            <w:color w:val="275F69"/>
          </w:rPr>
          <w:t>Q03 | College of Optometrists | Microbial keratitis, 2024</w:t>
        </w:r>
      </w:hyperlink>
    </w:p>
    <w:p>
      <w:pPr>
        <w:spacing w:after="80"/>
      </w:pPr>
      <w:hyperlink r:id="rId21">
        <w:r>
          <w:rPr>
            <w:rFonts w:ascii="Rubik" w:hAnsi="Rubik"/>
            <w:sz w:val="19"/>
            <w:color w:val="275F69"/>
          </w:rPr>
          <w:t>Q04 | AAO EyeWiki | HSV epithelial keratitis</w:t>
        </w:r>
      </w:hyperlink>
    </w:p>
    <w:p>
      <w:pPr>
        <w:spacing w:after="80"/>
      </w:pPr>
      <w:hyperlink r:id="rId22">
        <w:r>
          <w:rPr>
            <w:rFonts w:ascii="Rubik" w:hAnsi="Rubik"/>
            <w:sz w:val="19"/>
            <w:color w:val="275F69"/>
          </w:rPr>
          <w:t>Q04 | AAO EyeWiki | Acute anterior uveitis</w:t>
        </w:r>
      </w:hyperlink>
    </w:p>
    <w:p>
      <w:pPr>
        <w:spacing w:after="80"/>
      </w:pPr>
      <w:hyperlink r:id="rId23">
        <w:r>
          <w:rPr>
            <w:rFonts w:ascii="Rubik" w:hAnsi="Rubik"/>
            <w:sz w:val="19"/>
            <w:color w:val="275F69"/>
          </w:rPr>
          <w:t>Q05 | AAO EyeWiki | Endophthalmitis</w:t>
        </w:r>
      </w:hyperlink>
    </w:p>
    <w:p>
      <w:pPr>
        <w:spacing w:after="80"/>
      </w:pPr>
      <w:hyperlink r:id="rId24">
        <w:r>
          <w:rPr>
            <w:rFonts w:ascii="Rubik" w:hAnsi="Rubik"/>
            <w:sz w:val="19"/>
            <w:color w:val="275F69"/>
          </w:rPr>
          <w:t>Q05 | College of Optometrists | Postoperative endophthalmitis</w:t>
        </w:r>
      </w:hyperlink>
    </w:p>
    <w:p>
      <w:pPr>
        <w:spacing w:after="80"/>
      </w:pPr>
      <w:hyperlink r:id="rId25">
        <w:r>
          <w:rPr>
            <w:rFonts w:ascii="Rubik" w:hAnsi="Rubik"/>
            <w:sz w:val="19"/>
            <w:color w:val="275F69"/>
          </w:rPr>
          <w:t>Q06 | RCOphth | Angle-closure guideline, 2022</w:t>
        </w:r>
      </w:hyperlink>
    </w:p>
    <w:p>
      <w:pPr>
        <w:spacing w:after="80"/>
      </w:pPr>
      <w:hyperlink r:id="rId26">
        <w:r>
          <w:rPr>
            <w:rFonts w:ascii="Rubik" w:hAnsi="Rubik"/>
            <w:sz w:val="19"/>
            <w:color w:val="275F69"/>
          </w:rPr>
          <w:t>Q06 | AAO EyeWiki | Primary and secondary angle closure</w:t>
        </w:r>
      </w:hyperlink>
    </w:p>
    <w:p>
      <w:pPr>
        <w:spacing w:after="80"/>
      </w:pPr>
      <w:hyperlink r:id="rId27">
        <w:r>
          <w:rPr>
            <w:rFonts w:ascii="Rubik" w:hAnsi="Rubik"/>
            <w:sz w:val="19"/>
            <w:color w:val="275F69"/>
          </w:rPr>
          <w:t>Q06 | DailyMed | Acetazolamide prescribing information</w:t>
        </w:r>
      </w:hyperlink>
    </w:p>
    <w:p>
      <w:pPr>
        <w:spacing w:after="80"/>
      </w:pPr>
      <w:hyperlink r:id="rId28">
        <w:r>
          <w:rPr>
            <w:rFonts w:ascii="Rubik" w:hAnsi="Rubik"/>
            <w:sz w:val="19"/>
            <w:color w:val="275F69"/>
          </w:rPr>
          <w:t>Q07 | NICE NG81 | Recommendations, updated 2022</w:t>
        </w:r>
      </w:hyperlink>
    </w:p>
    <w:p>
      <w:pPr>
        <w:spacing w:after="80"/>
      </w:pPr>
      <w:hyperlink r:id="rId29">
        <w:r>
          <w:rPr>
            <w:rFonts w:ascii="Rubik" w:hAnsi="Rubik"/>
            <w:sz w:val="19"/>
            <w:color w:val="275F69"/>
          </w:rPr>
          <w:t>Q07 | NICE NG81 | Evidence and SLT rationale</w:t>
        </w:r>
      </w:hyperlink>
    </w:p>
    <w:p>
      <w:pPr>
        <w:spacing w:after="80"/>
      </w:pPr>
      <w:hyperlink r:id="rId30">
        <w:r>
          <w:rPr>
            <w:rFonts w:ascii="Rubik" w:hAnsi="Rubik"/>
            <w:sz w:val="19"/>
            <w:color w:val="275F69"/>
          </w:rPr>
          <w:t>Q07 | DailyMed | Timolol ophthalmic prescribing information</w:t>
        </w:r>
      </w:hyperlink>
    </w:p>
    <w:p>
      <w:pPr>
        <w:spacing w:after="80"/>
      </w:pPr>
      <w:hyperlink r:id="rId31">
        <w:r>
          <w:rPr>
            <w:rFonts w:ascii="Rubik" w:hAnsi="Rubik"/>
            <w:sz w:val="19"/>
            <w:color w:val="275F69"/>
          </w:rPr>
          <w:t>Q08 | AAO EyeWiki | Chemical injury</w:t>
        </w:r>
      </w:hyperlink>
    </w:p>
    <w:p>
      <w:pPr>
        <w:spacing w:after="80"/>
      </w:pPr>
      <w:hyperlink r:id="rId32">
        <w:r>
          <w:rPr>
            <w:rFonts w:ascii="Rubik" w:hAnsi="Rubik"/>
            <w:sz w:val="19"/>
            <w:color w:val="275F69"/>
          </w:rPr>
          <w:t>Q09 | AAO: Retinal Artery Occlusions PPP (2025)</w:t>
        </w:r>
      </w:hyperlink>
    </w:p>
    <w:p>
      <w:pPr>
        <w:spacing w:after="80"/>
      </w:pPr>
      <w:hyperlink r:id="rId33">
        <w:r>
          <w:rPr>
            <w:rFonts w:ascii="Rubik" w:hAnsi="Rubik"/>
            <w:sz w:val="19"/>
            <w:color w:val="275F69"/>
          </w:rPr>
          <w:t>Q09 | AHA: CRAO scientific statement</w:t>
        </w:r>
      </w:hyperlink>
    </w:p>
    <w:p>
      <w:pPr>
        <w:spacing w:after="80"/>
      </w:pPr>
      <w:hyperlink r:id="rId34">
        <w:r>
          <w:rPr>
            <w:rFonts w:ascii="Rubik" w:hAnsi="Rubik"/>
            <w:sz w:val="19"/>
            <w:color w:val="275F69"/>
          </w:rPr>
          <w:t>Q10 | RCOphth: Retinal vein occlusion guideline</w:t>
        </w:r>
      </w:hyperlink>
    </w:p>
    <w:p>
      <w:pPr>
        <w:spacing w:after="80"/>
      </w:pPr>
      <w:hyperlink r:id="rId35">
        <w:r>
          <w:rPr>
            <w:rFonts w:ascii="Rubik" w:hAnsi="Rubik"/>
            <w:sz w:val="19"/>
            <w:color w:val="275F69"/>
          </w:rPr>
          <w:t>Q10 | RCOphth: RVO full guideline (2022)</w:t>
        </w:r>
      </w:hyperlink>
    </w:p>
    <w:p>
      <w:pPr>
        <w:spacing w:after="80"/>
      </w:pPr>
      <w:hyperlink r:id="rId36">
        <w:r>
          <w:rPr>
            <w:rFonts w:ascii="Rubik" w:hAnsi="Rubik"/>
            <w:sz w:val="19"/>
            <w:color w:val="275F69"/>
          </w:rPr>
          <w:t>Q11 | NICE NG242: Diabetic retinopathy</w:t>
        </w:r>
      </w:hyperlink>
    </w:p>
    <w:p>
      <w:pPr>
        <w:spacing w:after="80"/>
      </w:pPr>
      <w:hyperlink r:id="rId37">
        <w:r>
          <w:rPr>
            <w:rFonts w:ascii="Rubik" w:hAnsi="Rubik"/>
            <w:sz w:val="19"/>
            <w:color w:val="275F69"/>
          </w:rPr>
          <w:t>Q11 | ADA Standards of Care: Retinopathy (2026)</w:t>
        </w:r>
      </w:hyperlink>
    </w:p>
    <w:p>
      <w:pPr>
        <w:spacing w:after="80"/>
      </w:pPr>
      <w:hyperlink r:id="rId38">
        <w:r>
          <w:rPr>
            <w:rFonts w:ascii="Rubik" w:hAnsi="Rubik"/>
            <w:sz w:val="19"/>
            <w:color w:val="275F69"/>
          </w:rPr>
          <w:t>Q12 | NICE NG82: Age-related macular degeneration</w:t>
        </w:r>
      </w:hyperlink>
    </w:p>
    <w:p>
      <w:pPr>
        <w:spacing w:after="80"/>
      </w:pPr>
      <w:hyperlink r:id="rId39">
        <w:r>
          <w:rPr>
            <w:rFonts w:ascii="Rubik" w:hAnsi="Rubik"/>
            <w:sz w:val="19"/>
            <w:color w:val="275F69"/>
          </w:rPr>
          <w:t>Q13 | NEI: Retinal detachment and urgent assessment</w:t>
        </w:r>
      </w:hyperlink>
    </w:p>
    <w:p>
      <w:pPr>
        <w:spacing w:after="80"/>
      </w:pPr>
      <w:hyperlink r:id="rId40">
        <w:r>
          <w:rPr>
            <w:rFonts w:ascii="Rubik" w:hAnsi="Rubik"/>
            <w:sz w:val="19"/>
            <w:color w:val="275F69"/>
          </w:rPr>
          <w:t>Q13, Q14 | AAO: PVD and Retinal Breaks PPP (2025)</w:t>
        </w:r>
      </w:hyperlink>
    </w:p>
    <w:p>
      <w:pPr>
        <w:spacing w:after="80"/>
      </w:pPr>
      <w:hyperlink r:id="rId41">
        <w:r>
          <w:rPr>
            <w:rFonts w:ascii="Rubik" w:hAnsi="Rubik"/>
            <w:sz w:val="19"/>
            <w:color w:val="275F69"/>
          </w:rPr>
          <w:t>Q14 | AAO EyeWiki: Posterior vitreous detachment</w:t>
        </w:r>
      </w:hyperlink>
    </w:p>
    <w:p>
      <w:pPr>
        <w:spacing w:after="80"/>
      </w:pPr>
      <w:hyperlink r:id="rId42">
        <w:r>
          <w:rPr>
            <w:rFonts w:ascii="Rubik" w:hAnsi="Rubik"/>
            <w:sz w:val="19"/>
            <w:color w:val="275F69"/>
          </w:rPr>
          <w:t>Q15 | Patel and Burdon: Modern assessment of isolated III palsy</w:t>
        </w:r>
      </w:hyperlink>
    </w:p>
    <w:p>
      <w:pPr>
        <w:spacing w:after="80"/>
      </w:pPr>
      <w:hyperlink r:id="rId43">
        <w:r>
          <w:rPr>
            <w:rFonts w:ascii="Rubik" w:hAnsi="Rubik"/>
            <w:sz w:val="19"/>
            <w:color w:val="275F69"/>
          </w:rPr>
          <w:t>Q16 | RCH: Periorbital and orbital cellulitis</w:t>
        </w:r>
      </w:hyperlink>
    </w:p>
    <w:p>
      <w:pPr>
        <w:spacing w:after="80"/>
      </w:pPr>
      <w:hyperlink r:id="rId44">
        <w:r>
          <w:rPr>
            <w:rFonts w:ascii="Rubik" w:hAnsi="Rubik"/>
            <w:sz w:val="19"/>
            <w:color w:val="275F69"/>
          </w:rPr>
          <w:t>Q17 | Mollan et al.: IIH consensus guideline</w:t>
        </w:r>
      </w:hyperlink>
    </w:p>
    <w:p>
      <w:pPr>
        <w:spacing w:after="80"/>
      </w:pPr>
      <w:hyperlink r:id="rId45">
        <w:r>
          <w:rPr>
            <w:rFonts w:ascii="Rubik" w:hAnsi="Rubik"/>
            <w:sz w:val="19"/>
            <w:color w:val="275F69"/>
          </w:rPr>
          <w:t>Q18 | Moorfields: Nd:YAG treatment for PCO</w:t>
        </w:r>
      </w:hyperlink>
    </w:p>
    <w:p>
      <w:pPr>
        <w:spacing w:after="80"/>
      </w:pPr>
      <w:hyperlink r:id="rId46">
        <w:r>
          <w:rPr>
            <w:rFonts w:ascii="Rubik" w:hAnsi="Rubik"/>
            <w:sz w:val="19"/>
            <w:color w:val="275F69"/>
          </w:rPr>
          <w:t>Q19 | NCI: Retinoblastoma diagnosis and staging</w:t>
        </w:r>
      </w:hyperlink>
    </w:p>
    <w:p>
      <w:pPr>
        <w:spacing w:after="80"/>
      </w:pPr>
      <w:hyperlink r:id="rId47">
        <w:r>
          <w:rPr>
            <w:rFonts w:ascii="Rubik" w:hAnsi="Rubik"/>
            <w:sz w:val="19"/>
            <w:color w:val="275F69"/>
          </w:rPr>
          <w:t>Q19 | ERIC/ERBG: Retinoblastoma imaging guideline, 2025</w:t>
        </w:r>
      </w:hyperlink>
    </w:p>
    <w:p>
      <w:pPr>
        <w:spacing w:after="80"/>
      </w:pPr>
      <w:hyperlink r:id="rId48">
        <w:r>
          <w:rPr>
            <w:rFonts w:ascii="Rubik" w:hAnsi="Rubik"/>
            <w:sz w:val="19"/>
            <w:color w:val="275F69"/>
          </w:rPr>
          <w:t>Q19 | GeneReviews: Retinoblastoma, biopsy precautions</w:t>
        </w:r>
      </w:hyperlink>
    </w:p>
    <w:p>
      <w:pPr>
        <w:spacing w:after="80"/>
      </w:pPr>
      <w:hyperlink r:id="rId49">
        <w:r>
          <w:rPr>
            <w:rFonts w:ascii="Rubik" w:hAnsi="Rubik"/>
            <w:sz w:val="19"/>
            <w:color w:val="275F69"/>
          </w:rPr>
          <w:t>Q20 | College of Optometrists: Acute dacryocystitis</w:t>
        </w:r>
      </w:hyperlink>
    </w:p>
    <w:p>
      <w:pPr>
        <w:spacing w:after="80"/>
      </w:pPr>
      <w:hyperlink r:id="rId50">
        <w:r>
          <w:rPr>
            <w:rFonts w:ascii="Rubik" w:hAnsi="Rubik"/>
            <w:sz w:val="19"/>
            <w:color w:val="275F69"/>
          </w:rPr>
          <w:t>Q20 | AAPOS: Nasolacrimal duct obstruction</w:t>
        </w:r>
      </w:hyperlink>
    </w:p>
    <w:sectPr w:rsidR="00FC693F" w:rsidRPr="0006063C" w:rsidSect="00034616">
      <w:headerReference w:type="default" r:id="rId9"/>
      <w:footerReference w:type="default" r:id="rId10"/>
      <w:pgSz w:w="11909" w:h="16834"/>
      <w:pgMar w:top="835" w:right="1080" w:bottom="835" w:left="1080"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pPr>
    <w:r>
      <w:rPr>
        <w:rFonts w:ascii="Rubik" w:hAnsi="Rubik" w:eastAsia="Rubik"/>
        <w:color w:val="59666A"/>
        <w:sz w:val="16"/>
      </w:rPr>
      <w:t>Zhong Han | Acuity Team</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Rubik" w:hAnsi="Rubik" w:eastAsia="Rubik"/>
        <w:color w:val="275F69"/>
        <w:sz w:val="16"/>
      </w:rPr>
      <w:t>LKC OPHSOC  /  CLINICAL M3-M5  /  CASE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Rubik" w:hAnsi="Rubik"/>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9" w:lineRule="auto"/>
      <w:outlineLvl w:val="0"/>
    </w:pPr>
    <w:rPr>
      <w:rFonts w:asciiTheme="majorHAnsi" w:eastAsiaTheme="majorEastAsia" w:hAnsiTheme="majorHAnsi" w:cstheme="majorBidi" w:ascii="Rubik" w:hAnsi="Rubik"/>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Rubik" w:hAnsi="Rubik"/>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contextualSpacing/>
    </w:pPr>
    <w:rPr>
      <w:rFonts w:asciiTheme="majorHAnsi" w:eastAsiaTheme="majorEastAsia" w:hAnsiTheme="majorHAnsi" w:cstheme="majorBidi" w:ascii="Rubik" w:hAnsi="Rubik"/>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hyperlink" Target="https://pmc.ncbi.nlm.nih.gov/articles/PMC12344504/" TargetMode="External"/><Relationship Id="rId18" Type="http://schemas.openxmlformats.org/officeDocument/2006/relationships/hyperlink" Target="https://www.nice.org.uk/guidance/ng128/chapter/recommendations" TargetMode="External"/><Relationship Id="rId19" Type="http://schemas.openxmlformats.org/officeDocument/2006/relationships/hyperlink" Target="https://eyewiki.aao.org/Bacterial_Keratitis" TargetMode="External"/><Relationship Id="rId20" Type="http://schemas.openxmlformats.org/officeDocument/2006/relationships/hyperlink" Target="https://www.college-optometrists.org/clinical-guidance/clinical-management-guidelines/microbialkeratitis_bacterial_fungal" TargetMode="External"/><Relationship Id="rId21" Type="http://schemas.openxmlformats.org/officeDocument/2006/relationships/hyperlink" Target="https://eyewiki.aao.org/Herpes_Simplex_Virus_Keratitis" TargetMode="External"/><Relationship Id="rId22" Type="http://schemas.openxmlformats.org/officeDocument/2006/relationships/hyperlink" Target="https://eyewiki.aao.org/Acute_Anterior_Uveitis" TargetMode="External"/><Relationship Id="rId23" Type="http://schemas.openxmlformats.org/officeDocument/2006/relationships/hyperlink" Target="https://eyewiki.aao.org/Endophthalmitis" TargetMode="External"/><Relationship Id="rId24" Type="http://schemas.openxmlformats.org/officeDocument/2006/relationships/hyperlink" Target="https://www.college-optometrists.org/clinical-guidance/clinical-management-guidelines/endophthalmitis_post-operative_exogenousendophthal" TargetMode="External"/><Relationship Id="rId25" Type="http://schemas.openxmlformats.org/officeDocument/2006/relationships/hyperlink" Target="https://www.rcophth.ac.uk/wp-content/uploads/2026/06/Management-of-Angle-Closure-Glaucoma.pdf" TargetMode="External"/><Relationship Id="rId26" Type="http://schemas.openxmlformats.org/officeDocument/2006/relationships/hyperlink" Target="https://eyewiki.aao.org/Primary_vs._Secondary_Angle_Closure_Glaucoma" TargetMode="External"/><Relationship Id="rId27" Type="http://schemas.openxmlformats.org/officeDocument/2006/relationships/hyperlink" Target="https://dailymed.nlm.nih.gov/dailymed/fda/fdaDrugXsl.cfm?setid=d6fba129-ac6e-4d04-bd09-8470be4e7ecc&amp;type=display" TargetMode="External"/><Relationship Id="rId28" Type="http://schemas.openxmlformats.org/officeDocument/2006/relationships/hyperlink" Target="https://www.nice.org.uk/guidance/ng81/chapter/Recommendations" TargetMode="External"/><Relationship Id="rId29" Type="http://schemas.openxmlformats.org/officeDocument/2006/relationships/hyperlink" Target="https://www.nice.org.uk/guidance/ng81/chapter/rationale-and-impact" TargetMode="External"/><Relationship Id="rId30" Type="http://schemas.openxmlformats.org/officeDocument/2006/relationships/hyperlink" Target="https://www.dailymed.nlm.nih.gov/dailymed/fda/fdaDrugXsl.cfm?setid=b686bbad-1ef7-4b94-a316-4d182a40b89a&amp;type=display" TargetMode="External"/><Relationship Id="rId31" Type="http://schemas.openxmlformats.org/officeDocument/2006/relationships/hyperlink" Target="https://eyewiki.aao.org/Chemical_(Alkali_and_Acid)_Injury_of_the_Conjunctiva_and_Cornea" TargetMode="External"/><Relationship Id="rId32" Type="http://schemas.openxmlformats.org/officeDocument/2006/relationships/hyperlink" Target="https://www.aaojournal.org/article/S0161-6420(24)00788-7/fulltext" TargetMode="External"/><Relationship Id="rId33" Type="http://schemas.openxmlformats.org/officeDocument/2006/relationships/hyperlink" Target="https://www.ahajournals.org/doi/10.1161/STR.0000000000000366" TargetMode="External"/><Relationship Id="rId34" Type="http://schemas.openxmlformats.org/officeDocument/2006/relationships/hyperlink" Target="https://www.rcophth.ac.uk/guidance-resources/retinal-vein-occlusion-guideline/" TargetMode="External"/><Relationship Id="rId35" Type="http://schemas.openxmlformats.org/officeDocument/2006/relationships/hyperlink" Target="https://www.rcophth.ac.uk/wp-content/uploads/2015/07/Retinal-Vein-Occlusion-Guidelines-2022.pdf" TargetMode="External"/><Relationship Id="rId36" Type="http://schemas.openxmlformats.org/officeDocument/2006/relationships/hyperlink" Target="https://www.nice.org.uk/guidance/ng242/chapter/Recommendations" TargetMode="External"/><Relationship Id="rId37" Type="http://schemas.openxmlformats.org/officeDocument/2006/relationships/hyperlink" Target="https://diabetesjournals.org/care/article/49/Supplement_1/S261/163919/12-Retinopathy-Neuropathy-and-Foot-Care-Standards" TargetMode="External"/><Relationship Id="rId38" Type="http://schemas.openxmlformats.org/officeDocument/2006/relationships/hyperlink" Target="https://www.nice.org.uk/guidance/ng82/chapter/Recommendations" TargetMode="External"/><Relationship Id="rId39" Type="http://schemas.openxmlformats.org/officeDocument/2006/relationships/hyperlink" Target="https://www.nei.nih.gov/eye-health-information/eye-conditions-and-diseases/retinal-detachment" TargetMode="External"/><Relationship Id="rId40" Type="http://schemas.openxmlformats.org/officeDocument/2006/relationships/hyperlink" Target="https://www.aaojournal.org/article/S0161-6420(24)00787-5/fulltext" TargetMode="External"/><Relationship Id="rId41" Type="http://schemas.openxmlformats.org/officeDocument/2006/relationships/hyperlink" Target="https://eyewiki.aao.org/Posterior_vitreous_detachment" TargetMode="External"/><Relationship Id="rId42" Type="http://schemas.openxmlformats.org/officeDocument/2006/relationships/hyperlink" Target="https://pmc.ncbi.nlm.nih.gov/articles/PMC8727561/" TargetMode="External"/><Relationship Id="rId43" Type="http://schemas.openxmlformats.org/officeDocument/2006/relationships/hyperlink" Target="https://www.rch.org.au/clinicalguide/guideline_index/Periorbital_and_orbital_cellulitis/" TargetMode="External"/><Relationship Id="rId44" Type="http://schemas.openxmlformats.org/officeDocument/2006/relationships/hyperlink" Target="https://jnnp.bmj.com/content/jnnp/early/2018/08/31/jnnp-2017-317440.full.pdf" TargetMode="External"/><Relationship Id="rId45" Type="http://schemas.openxmlformats.org/officeDocument/2006/relationships/hyperlink" Target="https://www.moorfields.nhs.uk/private/eye-conditions-and-treatments/cataract/yag-laser-treatment-for-posterior-capsule-opacification-pco" TargetMode="External"/><Relationship Id="rId46" Type="http://schemas.openxmlformats.org/officeDocument/2006/relationships/hyperlink" Target="https://www.cancer.gov/types/retinoblastoma/patient/retinoblastoma-treatment-pdq" TargetMode="External"/><Relationship Id="rId47" Type="http://schemas.openxmlformats.org/officeDocument/2006/relationships/hyperlink" Target="https://doi.org/10.1007/s00330-025-11853-1" TargetMode="External"/><Relationship Id="rId48" Type="http://schemas.openxmlformats.org/officeDocument/2006/relationships/hyperlink" Target="https://www.ncbi.nlm.nih.gov/books/NBK1452/" TargetMode="External"/><Relationship Id="rId49" Type="http://schemas.openxmlformats.org/officeDocument/2006/relationships/hyperlink" Target="https://www.college-optometrists.org/clinical-guidance/clinical-management-guidelines/dacryocystitis_acute" TargetMode="External"/><Relationship Id="rId50" Type="http://schemas.openxmlformats.org/officeDocument/2006/relationships/hyperlink" Target="https://www.aapos.org/glossary/nasolacrimal-duct-obstr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Ophthalmology M3 M5 Case MCQs</dc:title>
  <dc:subject/>
  <dc:creator>Zhong Han | LKC OphSoc</dc:creator>
  <cp:keywords/>
  <dc:description>generated by python-docx</dc:description>
  <cp:lastModifiedBy/>
  <cp:revision>1</cp:revision>
  <dcterms:created xsi:type="dcterms:W3CDTF">2013-12-23T23:15:00Z</dcterms:created>
  <dcterms:modified xsi:type="dcterms:W3CDTF">2013-12-23T23:15:00Z</dcterms:modified>
  <cp:category/>
</cp:coreProperties>
</file>