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Rubik" w:hAnsi="Rubik" w:eastAsia="Rubik"/>
          <w:b w:val="0"/>
          <w:color w:val="000000"/>
        </w:rPr>
        <w:t>FRCOphth Twenty Sample Questions</w:t>
      </w:r>
    </w:p>
    <w:p>
      <w:pPr>
        <w:keepNext/>
      </w:pPr>
      <w:r>
        <w:rPr>
          <w:rFonts w:ascii="Rubik" w:hAnsi="Rubik" w:eastAsia="Rubik"/>
          <w:b w:val="0"/>
          <w:color w:val="000000"/>
          <w:sz w:val="21"/>
        </w:rPr>
        <w:t>Twenty original samples split equally between Part 1 and Part 2. Each tests applied reasoning, with the answer and a short explanation below the options.</w:t>
      </w:r>
    </w:p>
    <w:p>
      <w:pPr>
        <w:pStyle w:val="Heading2"/>
        <w:keepNext/>
      </w:pPr>
      <w:r>
        <w:rPr>
          <w:rFonts w:ascii="Rubik" w:hAnsi="Rubik" w:eastAsia="Rubik"/>
          <w:b w:val="0"/>
          <w:color w:val="000000"/>
        </w:rPr>
        <w:t>Sample question 01</w:t>
      </w:r>
    </w:p>
    <w:p>
      <w:pPr>
        <w:keepNext/>
      </w:pPr>
      <w:r>
        <w:rPr>
          <w:rFonts w:ascii="Rubik" w:hAnsi="Rubik" w:eastAsia="Rubik"/>
          <w:b w:val="0"/>
          <w:color w:val="000000"/>
          <w:sz w:val="20"/>
        </w:rPr>
        <w:t>FRCOphth Part 1 | Optics | quantitative reasoning</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Two monochromatic sources each emit 1 mW of radiant power. For this exercise, their photopic luminous-efficiency weights are V=1.0 and V=0.5. Use luminous flux=683 x radiant power in watts x V. Which comparison is correct?</w:t>
      </w:r>
    </w:p>
    <w:p>
      <w:pPr>
        <w:keepNext/>
      </w:pPr>
      <w:r>
        <w:rPr>
          <w:rFonts w:ascii="Rubik" w:hAnsi="Rubik" w:eastAsia="Rubik"/>
          <w:b w:val="0"/>
          <w:color w:val="000000"/>
        </w:rPr>
        <w:t>A) Both give 683 lumens because V is dimensionless</w:t>
      </w:r>
    </w:p>
    <w:p>
      <w:pPr>
        <w:keepNext/>
      </w:pPr>
      <w:r>
        <w:rPr>
          <w:rFonts w:ascii="Rubik" w:hAnsi="Rubik" w:eastAsia="Rubik"/>
          <w:b w:val="0"/>
          <w:color w:val="000000"/>
        </w:rPr>
        <w:t>B) The first gives 0.342 lumen and the second 0.683 lumen</w:t>
      </w:r>
    </w:p>
    <w:p>
      <w:pPr>
        <w:keepNext/>
      </w:pPr>
      <w:r>
        <w:rPr>
          <w:rFonts w:ascii="Rubik" w:hAnsi="Rubik" w:eastAsia="Rubik"/>
          <w:b w:val="0"/>
          <w:color w:val="000000"/>
        </w:rPr>
        <w:t>C) The first gives 0.683 lumen and the second 0.342 lumen</w:t>
      </w:r>
    </w:p>
    <w:p>
      <w:pPr>
        <w:keepNext/>
      </w:pPr>
      <w:r>
        <w:rPr>
          <w:rFonts w:ascii="Rubik" w:hAnsi="Rubik" w:eastAsia="Rubik"/>
          <w:b w:val="0"/>
          <w:color w:val="000000"/>
        </w:rPr>
        <w:t>D) Both give 0.683 lumen because radiant powers match</w:t>
      </w:r>
    </w:p>
    <w:p>
      <w:pPr>
        <w:keepNext/>
      </w:pPr>
      <w:r>
        <w:rPr>
          <w:rFonts w:ascii="Rubik" w:hAnsi="Rubik" w:eastAsia="Rubik"/>
          <w:b/>
          <w:color w:val="000000"/>
        </w:rPr>
        <w:t>Correct option: C) The first gives 0.683 lumen and the second 0.342 lumen</w:t>
      </w:r>
    </w:p>
    <w:p>
      <w:pPr>
        <w:keepNext/>
      </w:pPr>
      <w:r>
        <w:rPr>
          <w:rFonts w:ascii="Rubik" w:hAnsi="Rubik" w:eastAsia="Rubik"/>
          <w:b w:val="0"/>
          <w:color w:val="000000"/>
        </w:rPr>
        <w:t>Photometry weights radiant power by visual spectral sensitivity, so equal watts need not produce equal lumens. The results are 0.683 and approximately 0.342 lumen using the supplied weights.</w:t>
      </w:r>
    </w:p>
    <w:p>
      <w:hyperlink r:id="rId11">
        <w:r>
          <w:rPr>
            <w:rFonts w:ascii="Rubik" w:hAnsi="Rubik"/>
            <w:color w:val="275F69"/>
            <w:sz w:val="20"/>
          </w:rPr>
          <w:t>CIE luminous efficacy of radiation</w:t>
        </w:r>
      </w:hyperlink>
    </w:p>
    <w:p>
      <w:pPr>
        <w:pStyle w:val="Heading2"/>
        <w:keepNext/>
        <w:pageBreakBefore/>
      </w:pPr>
      <w:r>
        <w:rPr>
          <w:rFonts w:ascii="Rubik" w:hAnsi="Rubik" w:eastAsia="Rubik"/>
          <w:b w:val="0"/>
          <w:color w:val="000000"/>
        </w:rPr>
        <w:t>Sample question 02</w:t>
      </w:r>
    </w:p>
    <w:p>
      <w:pPr>
        <w:keepNext/>
      </w:pPr>
      <w:r>
        <w:rPr>
          <w:rFonts w:ascii="Rubik" w:hAnsi="Rubik" w:eastAsia="Rubik"/>
          <w:b w:val="0"/>
          <w:color w:val="000000"/>
          <w:sz w:val="20"/>
        </w:rPr>
        <w:t>FRCOphth Part 1 | Physiology | quantitative reasoning</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In a study using an ETDRS-style chart with five letters per 0.1-logMAR line, two participants each gain ten letters. Their starting acuities differ. Which statement best describes the change on the specified scale?</w:t>
      </w:r>
    </w:p>
    <w:p>
      <w:pPr>
        <w:keepNext/>
      </w:pPr>
      <w:r>
        <w:rPr>
          <w:rFonts w:ascii="Rubik" w:hAnsi="Rubik" w:eastAsia="Rubik"/>
          <w:b w:val="0"/>
          <w:color w:val="000000"/>
        </w:rPr>
        <w:t>A) Only the participant with poorer baseline acuity improves by 0.2 logMAR</w:t>
      </w:r>
    </w:p>
    <w:p>
      <w:pPr>
        <w:keepNext/>
      </w:pPr>
      <w:r>
        <w:rPr>
          <w:rFonts w:ascii="Rubik" w:hAnsi="Rubik" w:eastAsia="Rubik"/>
          <w:b w:val="0"/>
          <w:color w:val="000000"/>
        </w:rPr>
        <w:t>B) Both improve by 0.2 logMAR despite different starting Snellen equivalents</w:t>
      </w:r>
    </w:p>
    <w:p>
      <w:pPr>
        <w:keepNext/>
      </w:pPr>
      <w:r>
        <w:rPr>
          <w:rFonts w:ascii="Rubik" w:hAnsi="Rubik" w:eastAsia="Rubik"/>
          <w:b w:val="0"/>
          <w:color w:val="000000"/>
        </w:rPr>
        <w:t>C) Equal letter gains imply equal increases in the Snellen denominator</w:t>
      </w:r>
    </w:p>
    <w:p>
      <w:pPr>
        <w:keepNext/>
      </w:pPr>
      <w:r>
        <w:rPr>
          <w:rFonts w:ascii="Rubik" w:hAnsi="Rubik" w:eastAsia="Rubik"/>
          <w:b w:val="0"/>
          <w:color w:val="000000"/>
        </w:rPr>
        <w:t>D) Letter gains cannot be compared unless starting acuity is identical</w:t>
      </w:r>
    </w:p>
    <w:p>
      <w:pPr>
        <w:keepNext/>
      </w:pPr>
      <w:r>
        <w:rPr>
          <w:rFonts w:ascii="Rubik" w:hAnsi="Rubik" w:eastAsia="Rubik"/>
          <w:b/>
          <w:color w:val="000000"/>
        </w:rPr>
        <w:t>Correct option: B) Both improve by 0.2 logMAR despite different starting Snellen equivalents</w:t>
      </w:r>
    </w:p>
    <w:p>
      <w:pPr>
        <w:keepNext/>
      </w:pPr>
      <w:r>
        <w:rPr>
          <w:rFonts w:ascii="Rubik" w:hAnsi="Rubik" w:eastAsia="Rubik"/>
          <w:b w:val="0"/>
          <w:color w:val="000000"/>
        </w:rPr>
        <w:t>Each letter represents 0.02 logMAR on the stated chart, so ten letters correspond to a 0.2-logMAR improvement. Equal logMAR changes do not require equal arithmetic changes in Snellen denominators.</w:t>
      </w:r>
    </w:p>
    <w:p>
      <w:hyperlink r:id="rId12">
        <w:r>
          <w:rPr>
            <w:rFonts w:ascii="Rubik" w:hAnsi="Rubik"/>
            <w:color w:val="275F69"/>
            <w:sz w:val="20"/>
          </w:rPr>
          <w:t>Visual Acuity Testing in Adults - EyeWiki</w:t>
        </w:r>
      </w:hyperlink>
    </w:p>
    <w:p>
      <w:pPr>
        <w:pStyle w:val="Heading2"/>
        <w:keepNext/>
        <w:pageBreakBefore/>
      </w:pPr>
      <w:r>
        <w:rPr>
          <w:rFonts w:ascii="Rubik" w:hAnsi="Rubik" w:eastAsia="Rubik"/>
          <w:b w:val="0"/>
          <w:color w:val="000000"/>
        </w:rPr>
        <w:t>Sample question 03</w:t>
      </w:r>
    </w:p>
    <w:p>
      <w:pPr>
        <w:keepNext/>
      </w:pPr>
      <w:r>
        <w:rPr>
          <w:rFonts w:ascii="Rubik" w:hAnsi="Rubik" w:eastAsia="Rubik"/>
          <w:b w:val="0"/>
          <w:color w:val="000000"/>
          <w:sz w:val="20"/>
        </w:rPr>
        <w:t>FRCOphth Part 1 | Anatomy | applied inference</w:t>
      </w:r>
    </w:p>
    <w:p>
      <w:pPr>
        <w:keepNext/>
      </w:pPr>
      <w:r>
        <w:rPr>
          <w:rFonts w:ascii="Rubik" w:hAnsi="Rubik" w:eastAsia="Rubik"/>
          <w:b w:val="0"/>
          <w:color w:val="000000"/>
          <w:sz w:val="20"/>
        </w:rPr>
        <w:t>Topic: Anatomy and embryology</w:t>
      </w:r>
    </w:p>
    <w:p>
      <w:pPr>
        <w:keepNext/>
      </w:pPr>
      <w:r>
        <w:rPr>
          <w:rFonts w:ascii="Rubik" w:hAnsi="Rubik" w:eastAsia="Rubik"/>
          <w:b w:val="0"/>
          <w:color w:val="000000"/>
        </w:rPr>
        <w:t>A patient with raised intracranial pressure previously underwent successful optic-nerve-sheath fenestration on one side. At later review, the fellow disc is swollen but the operated disc is much less swollen; lumbar cerebrospinal-fluid pressure remains elevated on a reliable measurement. The operated eye has stable fields and preserved nerve-fibre structure, without established optic atrophy. Which inference best explains why the local disc appearances need not match the lumbar pressure?</w:t>
      </w:r>
    </w:p>
    <w:p>
      <w:pPr>
        <w:keepNext/>
      </w:pPr>
      <w:r>
        <w:rPr>
          <w:rFonts w:ascii="Rubik" w:hAnsi="Rubik" w:eastAsia="Rubik"/>
          <w:b w:val="0"/>
          <w:color w:val="000000"/>
        </w:rPr>
        <w:t>A) The lumbar value establishes identical perioptic pressure effects in both eyes despite the fenestration</w:t>
      </w:r>
    </w:p>
    <w:p>
      <w:pPr>
        <w:keepNext/>
      </w:pPr>
      <w:r>
        <w:rPr>
          <w:rFonts w:ascii="Rubik" w:hAnsi="Rubik" w:eastAsia="Rubik"/>
          <w:b w:val="0"/>
          <w:color w:val="000000"/>
        </w:rPr>
        <w:t>B) The operated disc must be less swollen because most axons have been lost</w:t>
      </w:r>
    </w:p>
    <w:p>
      <w:pPr>
        <w:keepNext/>
      </w:pPr>
      <w:r>
        <w:rPr>
          <w:rFonts w:ascii="Rubik" w:hAnsi="Rubik" w:eastAsia="Rubik"/>
          <w:b w:val="0"/>
          <w:color w:val="000000"/>
        </w:rPr>
        <w:t>C) Local perioptic pressure transmission can be altered without normalising global intracranial pressure</w:t>
      </w:r>
    </w:p>
    <w:p>
      <w:pPr>
        <w:keepNext/>
      </w:pPr>
      <w:r>
        <w:rPr>
          <w:rFonts w:ascii="Rubik" w:hAnsi="Rubik" w:eastAsia="Rubik"/>
          <w:b w:val="0"/>
          <w:color w:val="000000"/>
        </w:rPr>
        <w:t>D) The local laminar pressure effect depends on IOP alone and is unaffected by perioptic CSF</w:t>
      </w:r>
    </w:p>
    <w:p>
      <w:pPr>
        <w:keepNext/>
      </w:pPr>
      <w:r>
        <w:rPr>
          <w:rFonts w:ascii="Rubik" w:hAnsi="Rubik" w:eastAsia="Rubik"/>
          <w:b/>
          <w:color w:val="000000"/>
        </w:rPr>
        <w:t>Correct option: C) Local perioptic pressure transmission can be altered without normalising global intracranial pressure</w:t>
      </w:r>
    </w:p>
    <w:p>
      <w:pPr>
        <w:keepNext/>
      </w:pPr>
      <w:r>
        <w:rPr>
          <w:rFonts w:ascii="Rubik" w:hAnsi="Rubik" w:eastAsia="Rubik"/>
          <w:b w:val="0"/>
          <w:color w:val="000000"/>
        </w:rPr>
        <w:t>Fenestration can alter the local perioptic CSF environment and pressure effect on the nerve while global intracranial pressure remains high. This observation does not establish complete resolution of the underlying pressure disorder.</w:t>
      </w:r>
    </w:p>
    <w:p>
      <w:hyperlink r:id="rId13">
        <w:r>
          <w:rPr>
            <w:rFonts w:ascii="Rubik" w:hAnsi="Rubik"/>
            <w:color w:val="275F69"/>
            <w:sz w:val="20"/>
          </w:rPr>
          <w:t>Optic Nerve Sheath Decompression - EyeWiki</w:t>
        </w:r>
      </w:hyperlink>
    </w:p>
    <w:p>
      <w:pPr>
        <w:pStyle w:val="Heading2"/>
        <w:keepNext/>
        <w:pageBreakBefore/>
      </w:pPr>
      <w:r>
        <w:rPr>
          <w:rFonts w:ascii="Rubik" w:hAnsi="Rubik" w:eastAsia="Rubik"/>
          <w:b w:val="0"/>
          <w:color w:val="000000"/>
        </w:rPr>
        <w:t>Sample question 04</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An ocular cell model has unchanged copy number and coding sequence of a candidate gene, but its protein level falls after a regulatory intervention. The investigator first wants to determine whether transcript abundance also fell, rather than immediately assuming impaired translation. Which method most directly addresses that question?</w:t>
      </w:r>
    </w:p>
    <w:p>
      <w:pPr>
        <w:keepNext/>
      </w:pPr>
      <w:r>
        <w:rPr>
          <w:rFonts w:ascii="Rubik" w:hAnsi="Rubik" w:eastAsia="Rubik"/>
          <w:b w:val="0"/>
          <w:color w:val="000000"/>
        </w:rPr>
        <w:t>A) Quantitative reverse-transcription PCR with appropriate RNA controls</w:t>
      </w:r>
    </w:p>
    <w:p>
      <w:pPr>
        <w:keepNext/>
      </w:pPr>
      <w:r>
        <w:rPr>
          <w:rFonts w:ascii="Rubik" w:hAnsi="Rubik" w:eastAsia="Rubik"/>
          <w:b w:val="0"/>
          <w:color w:val="000000"/>
        </w:rPr>
        <w:t>B) Genomic DNA sequencing alone</w:t>
      </w:r>
    </w:p>
    <w:p>
      <w:pPr>
        <w:keepNext/>
      </w:pPr>
      <w:r>
        <w:rPr>
          <w:rFonts w:ascii="Rubik" w:hAnsi="Rubik" w:eastAsia="Rubik"/>
          <w:b w:val="0"/>
          <w:color w:val="000000"/>
        </w:rPr>
        <w:t>C) Chromosome banding alone</w:t>
      </w:r>
    </w:p>
    <w:p>
      <w:pPr>
        <w:keepNext/>
      </w:pPr>
      <w:r>
        <w:rPr>
          <w:rFonts w:ascii="Rubik" w:hAnsi="Rubik" w:eastAsia="Rubik"/>
          <w:b w:val="0"/>
          <w:color w:val="000000"/>
        </w:rPr>
        <w:t>D) Protein Western blot alone</w:t>
      </w:r>
    </w:p>
    <w:p>
      <w:pPr>
        <w:keepNext/>
      </w:pPr>
      <w:r>
        <w:rPr>
          <w:rFonts w:ascii="Rubik" w:hAnsi="Rubik" w:eastAsia="Rubik"/>
          <w:b/>
          <w:color w:val="000000"/>
        </w:rPr>
        <w:t>Correct option: A) Quantitative reverse-transcription PCR with appropriate RNA controls</w:t>
      </w:r>
    </w:p>
    <w:p>
      <w:pPr>
        <w:keepNext/>
      </w:pPr>
      <w:r>
        <w:rPr>
          <w:rFonts w:ascii="Rubik" w:hAnsi="Rubik" w:eastAsia="Rubik"/>
          <w:b w:val="0"/>
          <w:color w:val="000000"/>
        </w:rPr>
        <w:t>Reverse transcription followed by quantitative PCR measures the relevant RNA-derived target and can assess transcript abundance with suitable controls. Protein measurement or genomic sequence alone does not answer whether mRNA abundance changed.</w:t>
      </w:r>
    </w:p>
    <w:p>
      <w:hyperlink r:id="rId14">
        <w:r>
          <w:rPr>
            <w:rFonts w:ascii="Rubik" w:hAnsi="Rubik"/>
            <w:color w:val="275F69"/>
            <w:sz w:val="20"/>
          </w:rPr>
          <w:t>Gene Expression: mRNA Transcript Analysis</w:t>
        </w:r>
      </w:hyperlink>
    </w:p>
    <w:p>
      <w:pPr>
        <w:pStyle w:val="Heading2"/>
        <w:keepNext/>
        <w:pageBreakBefore/>
      </w:pPr>
      <w:r>
        <w:rPr>
          <w:rFonts w:ascii="Rubik" w:hAnsi="Rubik" w:eastAsia="Rubik"/>
          <w:b w:val="0"/>
          <w:color w:val="000000"/>
        </w:rPr>
        <w:t>Sample question 05</w:t>
      </w:r>
    </w:p>
    <w:p>
      <w:pPr>
        <w:keepNext/>
      </w:pPr>
      <w:r>
        <w:rPr>
          <w:rFonts w:ascii="Rubik" w:hAnsi="Rubik" w:eastAsia="Rubik"/>
          <w:b w:val="0"/>
          <w:color w:val="000000"/>
          <w:sz w:val="20"/>
        </w:rPr>
        <w:t>FRCOphth Part 1 | Biostatistics | applied inference</w:t>
      </w:r>
    </w:p>
    <w:p>
      <w:pPr>
        <w:keepNext/>
      </w:pPr>
      <w:r>
        <w:rPr>
          <w:rFonts w:ascii="Rubik" w:hAnsi="Rubik" w:eastAsia="Rubik"/>
          <w:b w:val="0"/>
          <w:color w:val="000000"/>
          <w:sz w:val="20"/>
        </w:rPr>
        <w:t>Topic: Biostatistics and evidence</w:t>
      </w:r>
    </w:p>
    <w:p>
      <w:pPr>
        <w:keepNext/>
      </w:pPr>
      <w:r>
        <w:rPr>
          <w:rFonts w:ascii="Rubik" w:hAnsi="Rubik" w:eastAsia="Rubik"/>
          <w:b w:val="0"/>
          <w:color w:val="000000"/>
        </w:rPr>
        <w:t>A diagnostic test has identical sensitivity and specificity in two populations. Disease prevalence is substantially lower in the second population, and both populations receive complete reference-standard verification. Which quantity is expected to be lower in the second population, despite unchanged test discrimination?</w:t>
      </w:r>
    </w:p>
    <w:p>
      <w:pPr>
        <w:keepNext/>
      </w:pPr>
      <w:r>
        <w:rPr>
          <w:rFonts w:ascii="Rubik" w:hAnsi="Rubik" w:eastAsia="Rubik"/>
          <w:b w:val="0"/>
          <w:color w:val="000000"/>
        </w:rPr>
        <w:t>A) Positive predictive value</w:t>
      </w:r>
    </w:p>
    <w:p>
      <w:pPr>
        <w:keepNext/>
      </w:pPr>
      <w:r>
        <w:rPr>
          <w:rFonts w:ascii="Rubik" w:hAnsi="Rubik" w:eastAsia="Rubik"/>
          <w:b w:val="0"/>
          <w:color w:val="000000"/>
        </w:rPr>
        <w:t>B) Positive likelihood ratio</w:t>
      </w:r>
    </w:p>
    <w:p>
      <w:pPr>
        <w:keepNext/>
      </w:pPr>
      <w:r>
        <w:rPr>
          <w:rFonts w:ascii="Rubik" w:hAnsi="Rubik" w:eastAsia="Rubik"/>
          <w:b w:val="0"/>
          <w:color w:val="000000"/>
        </w:rPr>
        <w:t>C) Specificity</w:t>
      </w:r>
    </w:p>
    <w:p>
      <w:pPr>
        <w:keepNext/>
      </w:pPr>
      <w:r>
        <w:rPr>
          <w:rFonts w:ascii="Rubik" w:hAnsi="Rubik" w:eastAsia="Rubik"/>
          <w:b w:val="0"/>
          <w:color w:val="000000"/>
        </w:rPr>
        <w:t>D) Sensitivity</w:t>
      </w:r>
    </w:p>
    <w:p>
      <w:pPr>
        <w:keepNext/>
      </w:pPr>
      <w:r>
        <w:rPr>
          <w:rFonts w:ascii="Rubik" w:hAnsi="Rubik" w:eastAsia="Rubik"/>
          <w:b/>
          <w:color w:val="000000"/>
        </w:rPr>
        <w:t>Correct option: A) Positive predictive value</w:t>
      </w:r>
    </w:p>
    <w:p>
      <w:pPr>
        <w:keepNext/>
      </w:pPr>
      <w:r>
        <w:rPr>
          <w:rFonts w:ascii="Rubik" w:hAnsi="Rubik" w:eastAsia="Rubik"/>
          <w:b w:val="0"/>
          <w:color w:val="000000"/>
        </w:rPr>
        <w:t>Positive predictive value depends on the prevalence or pretest probability as well as test performance. Lower prevalence increases the proportion of positive results arising from non-diseased people, while the stipulated sensitivity, specificity and resulting likelihood ratio remain unchanged.</w:t>
      </w:r>
    </w:p>
    <w:p>
      <w:hyperlink r:id="rId15">
        <w:r>
          <w:rPr>
            <w:rFonts w:ascii="Rubik" w:hAnsi="Rubik"/>
            <w:color w:val="275F69"/>
            <w:sz w:val="20"/>
          </w:rPr>
          <w:t>Studies of diagnostic test accuracy: Partial verification bias and test result-based sampling</w:t>
        </w:r>
      </w:hyperlink>
    </w:p>
    <w:p>
      <w:pPr>
        <w:pStyle w:val="Heading2"/>
        <w:keepNext/>
        <w:pageBreakBefore/>
      </w:pPr>
      <w:r>
        <w:rPr>
          <w:rFonts w:ascii="Rubik" w:hAnsi="Rubik" w:eastAsia="Rubik"/>
          <w:b w:val="0"/>
          <w:color w:val="000000"/>
        </w:rPr>
        <w:t>Sample question 06</w:t>
      </w:r>
    </w:p>
    <w:p>
      <w:pPr>
        <w:keepNext/>
      </w:pPr>
      <w:r>
        <w:rPr>
          <w:rFonts w:ascii="Rubik" w:hAnsi="Rubik" w:eastAsia="Rubik"/>
          <w:b w:val="0"/>
          <w:color w:val="000000"/>
          <w:sz w:val="20"/>
        </w:rPr>
        <w:t>FRCOphth Part 1 | Physiology | applied inference</w:t>
      </w:r>
    </w:p>
    <w:p>
      <w:pPr>
        <w:keepNext/>
      </w:pPr>
      <w:r>
        <w:rPr>
          <w:rFonts w:ascii="Rubik" w:hAnsi="Rubik" w:eastAsia="Rubik"/>
          <w:b w:val="0"/>
          <w:color w:val="000000"/>
          <w:sz w:val="20"/>
        </w:rPr>
        <w:t>Topic: Physiology and biochemistry</w:t>
      </w:r>
    </w:p>
    <w:p>
      <w:pPr>
        <w:keepNext/>
      </w:pPr>
      <w:r>
        <w:rPr>
          <w:rFonts w:ascii="Rubik" w:hAnsi="Rubik" w:eastAsia="Rubik"/>
          <w:b w:val="0"/>
          <w:color w:val="000000"/>
        </w:rPr>
        <w:t>Two cell suspensions start in identical isotonic baths. The measured extracellular osmolality is increased by the same amount in both: one receives a solute that freely equilibrates across the cell membrane, while the other receives a solute that remains effectively extracellular during the experiment. Which long-enough-to-equilibrate comparison is expected, ignoring regulatory volume responses?</w:t>
      </w:r>
    </w:p>
    <w:p>
      <w:pPr>
        <w:keepNext/>
      </w:pPr>
      <w:r>
        <w:rPr>
          <w:rFonts w:ascii="Rubik" w:hAnsi="Rubik" w:eastAsia="Rubik"/>
          <w:b w:val="0"/>
          <w:color w:val="000000"/>
        </w:rPr>
        <w:t>A) The freely permeant solute must produce the greater sustained shrinkage</w:t>
      </w:r>
    </w:p>
    <w:p>
      <w:pPr>
        <w:keepNext/>
      </w:pPr>
      <w:r>
        <w:rPr>
          <w:rFonts w:ascii="Rubik" w:hAnsi="Rubik" w:eastAsia="Rubik"/>
          <w:b w:val="0"/>
          <w:color w:val="000000"/>
        </w:rPr>
        <w:t>B) Persistent shrinkage is greater with the effectively extracellular solute</w:t>
      </w:r>
    </w:p>
    <w:p>
      <w:pPr>
        <w:keepNext/>
      </w:pPr>
      <w:r>
        <w:rPr>
          <w:rFonts w:ascii="Rubik" w:hAnsi="Rubik" w:eastAsia="Rubik"/>
          <w:b w:val="0"/>
          <w:color w:val="000000"/>
        </w:rPr>
        <w:t>C) Neither solute can produce water movement</w:t>
      </w:r>
    </w:p>
    <w:p>
      <w:pPr>
        <w:keepNext/>
      </w:pPr>
      <w:r>
        <w:rPr>
          <w:rFonts w:ascii="Rubik" w:hAnsi="Rubik" w:eastAsia="Rubik"/>
          <w:b w:val="0"/>
          <w:color w:val="000000"/>
        </w:rPr>
        <w:t>D) Persistent shrinkage is identical because measured osmolality is identical</w:t>
      </w:r>
    </w:p>
    <w:p>
      <w:pPr>
        <w:keepNext/>
      </w:pPr>
      <w:r>
        <w:rPr>
          <w:rFonts w:ascii="Rubik" w:hAnsi="Rubik" w:eastAsia="Rubik"/>
          <w:b/>
          <w:color w:val="000000"/>
        </w:rPr>
        <w:t>Correct option: B) Persistent shrinkage is greater with the effectively extracellular solute</w:t>
      </w:r>
    </w:p>
    <w:p>
      <w:pPr>
        <w:keepNext/>
      </w:pPr>
      <w:r>
        <w:rPr>
          <w:rFonts w:ascii="Rubik" w:hAnsi="Rubik" w:eastAsia="Rubik"/>
          <w:b w:val="0"/>
          <w:color w:val="000000"/>
        </w:rPr>
        <w:t>Sustained cell-volume effects depend on effective transmembrane osmotic gradients, not measured osmolality alone. A freely permeant solute equilibrates across the membrane, whereas an effectively extracellular solute maintains a gradient favouring water loss.</w:t>
      </w:r>
    </w:p>
    <w:p>
      <w:hyperlink r:id="rId16">
        <w:r>
          <w:rPr>
            <w:rFonts w:ascii="Rubik" w:hAnsi="Rubik"/>
            <w:color w:val="275F69"/>
            <w:sz w:val="20"/>
          </w:rPr>
          <w:t>Biochemistry, Hypertonicity</w:t>
        </w:r>
      </w:hyperlink>
    </w:p>
    <w:p>
      <w:pPr>
        <w:pStyle w:val="Heading2"/>
        <w:keepNext/>
        <w:pageBreakBefore/>
      </w:pPr>
      <w:r>
        <w:rPr>
          <w:rFonts w:ascii="Rubik" w:hAnsi="Rubik" w:eastAsia="Rubik"/>
          <w:b w:val="0"/>
          <w:color w:val="000000"/>
        </w:rPr>
        <w:t>Sample question 07</w:t>
      </w:r>
    </w:p>
    <w:p>
      <w:pPr>
        <w:keepNext/>
      </w:pPr>
      <w:r>
        <w:rPr>
          <w:rFonts w:ascii="Rubik" w:hAnsi="Rubik" w:eastAsia="Rubik"/>
          <w:b w:val="0"/>
          <w:color w:val="000000"/>
          <w:sz w:val="20"/>
        </w:rPr>
        <w:t>FRCOphth Part 1 | Optics | applied inference</w:t>
      </w:r>
    </w:p>
    <w:p>
      <w:pPr>
        <w:keepNext/>
      </w:pPr>
      <w:r>
        <w:rPr>
          <w:rFonts w:ascii="Rubik" w:hAnsi="Rubik" w:eastAsia="Rubik"/>
          <w:b w:val="0"/>
          <w:color w:val="000000"/>
          <w:sz w:val="20"/>
        </w:rPr>
        <w:t>Topic: Optics and refraction</w:t>
      </w:r>
    </w:p>
    <w:p>
      <w:pPr>
        <w:keepNext/>
      </w:pPr>
      <w:r>
        <w:rPr>
          <w:rFonts w:ascii="Rubik" w:hAnsi="Rubik" w:eastAsia="Rubik"/>
          <w:b w:val="0"/>
          <w:color w:val="000000"/>
        </w:rPr>
        <w:t>An eye gives equal clarity on a red-green duochrome chart after a stable refraction. A small additional minus spherical lens is then introduced while accommodation remains fixed. Longitudinal chromatic aberration is otherwise unchanged. Which shift is most likely?</w:t>
      </w:r>
    </w:p>
    <w:p>
      <w:pPr>
        <w:keepNext/>
      </w:pPr>
      <w:r>
        <w:rPr>
          <w:rFonts w:ascii="Rubik" w:hAnsi="Rubik" w:eastAsia="Rubik"/>
          <w:b w:val="0"/>
          <w:color w:val="000000"/>
        </w:rPr>
        <w:t>A) Green-side letters become relatively clearer</w:t>
      </w:r>
    </w:p>
    <w:p>
      <w:pPr>
        <w:keepNext/>
      </w:pPr>
      <w:r>
        <w:rPr>
          <w:rFonts w:ascii="Rubik" w:hAnsi="Rubik" w:eastAsia="Rubik"/>
          <w:b w:val="0"/>
          <w:color w:val="000000"/>
        </w:rPr>
        <w:t>B) Both spectral foci shift anteriorly by the minus lens</w:t>
      </w:r>
    </w:p>
    <w:p>
      <w:pPr>
        <w:keepNext/>
      </w:pPr>
      <w:r>
        <w:rPr>
          <w:rFonts w:ascii="Rubik" w:hAnsi="Rubik" w:eastAsia="Rubik"/>
          <w:b w:val="0"/>
          <w:color w:val="000000"/>
        </w:rPr>
        <w:t>C) Red-side letters become relatively clearer</w:t>
      </w:r>
    </w:p>
    <w:p>
      <w:pPr>
        <w:keepNext/>
      </w:pPr>
      <w:r>
        <w:rPr>
          <w:rFonts w:ascii="Rubik" w:hAnsi="Rubik" w:eastAsia="Rubik"/>
          <w:b w:val="0"/>
          <w:color w:val="000000"/>
        </w:rPr>
        <w:t>D) Chromatic focus order reverses</w:t>
      </w:r>
    </w:p>
    <w:p>
      <w:pPr>
        <w:keepNext/>
      </w:pPr>
      <w:r>
        <w:rPr>
          <w:rFonts w:ascii="Rubik" w:hAnsi="Rubik" w:eastAsia="Rubik"/>
          <w:b/>
          <w:color w:val="000000"/>
        </w:rPr>
        <w:t>Correct option: A) Green-side letters become relatively clearer</w:t>
      </w:r>
    </w:p>
    <w:p>
      <w:pPr>
        <w:keepNext/>
      </w:pPr>
      <w:r>
        <w:rPr>
          <w:rFonts w:ascii="Rubik" w:hAnsi="Rubik" w:eastAsia="Rubik"/>
          <w:b w:val="0"/>
          <w:color w:val="000000"/>
        </w:rPr>
        <w:t>Additional minus moves the focal positions posteriorly; the shorter-wavelength green focus becomes relatively closer to the retina in this over-minus condition. The red-green difference arises from longitudinal chromatic aberration, whose focus order has not reversed.</w:t>
      </w:r>
    </w:p>
    <w:p>
      <w:hyperlink r:id="rId17">
        <w:r>
          <w:rPr>
            <w:rFonts w:ascii="Rubik" w:hAnsi="Rubik"/>
            <w:color w:val="275F69"/>
            <w:sz w:val="20"/>
          </w:rPr>
          <w:t>Duochrome Test - EyeWiki</w:t>
        </w:r>
      </w:hyperlink>
    </w:p>
    <w:p>
      <w:pPr>
        <w:pStyle w:val="Heading2"/>
        <w:keepNext/>
        <w:pageBreakBefore/>
      </w:pPr>
      <w:r>
        <w:rPr>
          <w:rFonts w:ascii="Rubik" w:hAnsi="Rubik" w:eastAsia="Rubik"/>
          <w:b w:val="0"/>
          <w:color w:val="000000"/>
        </w:rPr>
        <w:t>Sample question 08</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A patient taking topical prednisolone develops blurred vision four weeks after LASIK. Anterior-segment OCT shows a fluid cleft beneath the flap. Central Goldmann applanation measures 12 mmHg, but measurements over peripheral cornea outside the flap are much higher. Which mechanism best explains this discrepancy?</w:t>
      </w:r>
    </w:p>
    <w:p>
      <w:pPr>
        <w:keepNext/>
      </w:pPr>
      <w:r>
        <w:rPr>
          <w:rFonts w:ascii="Rubik" w:hAnsi="Rubik" w:eastAsia="Rubik"/>
          <w:b w:val="0"/>
          <w:color w:val="000000"/>
        </w:rPr>
        <w:t>A) The fluid cleft increases central stromal rigidity, systematically overestimating pressure</w:t>
      </w:r>
    </w:p>
    <w:p>
      <w:pPr>
        <w:keepNext/>
      </w:pPr>
      <w:r>
        <w:rPr>
          <w:rFonts w:ascii="Rubik" w:hAnsi="Rubik" w:eastAsia="Rubik"/>
          <w:b w:val="0"/>
          <w:color w:val="000000"/>
        </w:rPr>
        <w:t>B) The peripheral measurement excludes aqueous pressure and measures only scleral rigidity</w:t>
      </w:r>
    </w:p>
    <w:p>
      <w:pPr>
        <w:keepNext/>
      </w:pPr>
      <w:r>
        <w:rPr>
          <w:rFonts w:ascii="Rubik" w:hAnsi="Rubik" w:eastAsia="Rubik"/>
          <w:b w:val="0"/>
          <w:color w:val="000000"/>
        </w:rPr>
        <w:t>C) The flap blocks transmission of aqueous pressure equally at central and peripheral sites</w:t>
      </w:r>
    </w:p>
    <w:p>
      <w:pPr>
        <w:keepNext/>
      </w:pPr>
      <w:r>
        <w:rPr>
          <w:rFonts w:ascii="Rubik" w:hAnsi="Rubik" w:eastAsia="Rubik"/>
          <w:b w:val="0"/>
          <w:color w:val="000000"/>
        </w:rPr>
        <w:t>D) The central measurement deforms a compressible interface, underestimating intraocular pressure</w:t>
      </w:r>
    </w:p>
    <w:p>
      <w:pPr>
        <w:keepNext/>
      </w:pPr>
      <w:r>
        <w:rPr>
          <w:rFonts w:ascii="Rubik" w:hAnsi="Rubik" w:eastAsia="Rubik"/>
          <w:b/>
          <w:color w:val="000000"/>
        </w:rPr>
        <w:t>Correct option: D) The central measurement deforms a compressible interface, underestimating intraocular pressure</w:t>
      </w:r>
    </w:p>
    <w:p>
      <w:pPr>
        <w:keepNext/>
      </w:pPr>
      <w:r>
        <w:rPr>
          <w:rFonts w:ascii="Rubik" w:hAnsi="Rubik" w:eastAsia="Rubik"/>
          <w:b w:val="0"/>
          <w:color w:val="000000"/>
        </w:rPr>
        <w:t>Applanation over an interface fluid pocket can yield a falsely low reading because the flap and fluid deform. Peripheral measurements and structural assessment are important when the central result conflicts with the clinical picture.</w:t>
      </w:r>
    </w:p>
    <w:p>
      <w:hyperlink r:id="rId18">
        <w:r>
          <w:rPr>
            <w:rFonts w:ascii="Rubik" w:hAnsi="Rubik"/>
            <w:color w:val="275F69"/>
            <w:sz w:val="20"/>
          </w:rPr>
          <w:t>Interface Fluid Syndrome</w:t>
        </w:r>
      </w:hyperlink>
    </w:p>
    <w:p>
      <w:pPr>
        <w:pStyle w:val="Heading2"/>
        <w:keepNext/>
        <w:pageBreakBefore/>
      </w:pPr>
      <w:r>
        <w:rPr>
          <w:rFonts w:ascii="Rubik" w:hAnsi="Rubik" w:eastAsia="Rubik"/>
          <w:b w:val="0"/>
          <w:color w:val="000000"/>
        </w:rPr>
        <w:t>Sample question 09</w:t>
      </w:r>
    </w:p>
    <w:p>
      <w:pPr>
        <w:keepNext/>
      </w:pPr>
      <w:r>
        <w:rPr>
          <w:rFonts w:ascii="Rubik" w:hAnsi="Rubik" w:eastAsia="Rubik"/>
          <w:b w:val="0"/>
          <w:color w:val="000000"/>
          <w:sz w:val="20"/>
        </w:rPr>
        <w:t>FRCOphth Part 1 | Part 1 | applied mechanism</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Two OVDs are tested under the same irrigation and aspiration settings. One maintains a cohesive bolus that is readily removed; the other spreads along the endothelium and persists after most free OVD has been aspirated. Which pairing best explains the second device's main surgical advantage and removal problem?</w:t>
      </w:r>
    </w:p>
    <w:p>
      <w:pPr>
        <w:keepNext/>
      </w:pPr>
      <w:r>
        <w:rPr>
          <w:rFonts w:ascii="Rubik" w:hAnsi="Rubik" w:eastAsia="Rubik"/>
          <w:b w:val="0"/>
          <w:color w:val="000000"/>
        </w:rPr>
        <w:t>A) Cohesive behaviour; weaker space maintenance with obligatory endothelial adherence</w:t>
      </w:r>
    </w:p>
    <w:p>
      <w:pPr>
        <w:keepNext/>
      </w:pPr>
      <w:r>
        <w:rPr>
          <w:rFonts w:ascii="Rubik" w:hAnsi="Rubik" w:eastAsia="Rubik"/>
          <w:b w:val="0"/>
          <w:color w:val="000000"/>
        </w:rPr>
        <w:t>B) Dispersive behaviour; sustained endothelial coating with less complete single-bolus removal</w:t>
      </w:r>
    </w:p>
    <w:p>
      <w:pPr>
        <w:keepNext/>
      </w:pPr>
      <w:r>
        <w:rPr>
          <w:rFonts w:ascii="Rubik" w:hAnsi="Rubik" w:eastAsia="Rubik"/>
          <w:b w:val="0"/>
          <w:color w:val="000000"/>
        </w:rPr>
        <w:t>C) Cohesive behaviour; sustained endothelial coating with rapid whole-bolus removal</w:t>
      </w:r>
    </w:p>
    <w:p>
      <w:pPr>
        <w:keepNext/>
      </w:pPr>
      <w:r>
        <w:rPr>
          <w:rFonts w:ascii="Rubik" w:hAnsi="Rubik" w:eastAsia="Rubik"/>
          <w:b w:val="0"/>
          <w:color w:val="000000"/>
        </w:rPr>
        <w:t>D) Dispersive behaviour; strongest space maintenance with no residual postoperative pressure risk</w:t>
      </w:r>
    </w:p>
    <w:p>
      <w:pPr>
        <w:keepNext/>
      </w:pPr>
      <w:r>
        <w:rPr>
          <w:rFonts w:ascii="Rubik" w:hAnsi="Rubik" w:eastAsia="Rubik"/>
          <w:b/>
          <w:color w:val="000000"/>
        </w:rPr>
        <w:t>Correct option: B) Dispersive behaviour; sustained endothelial coating with less complete single-bolus removal</w:t>
      </w:r>
    </w:p>
    <w:p>
      <w:pPr>
        <w:keepNext/>
      </w:pPr>
      <w:r>
        <w:rPr>
          <w:rFonts w:ascii="Rubik" w:hAnsi="Rubik" w:eastAsia="Rubik"/>
          <w:b w:val="0"/>
          <w:color w:val="000000"/>
        </w:rPr>
        <w:t>Dispersive OVDs tend to coat and remain on tissue during fluid flow, providing endothelial protection but requiring deliberate removal. Cohesive OVDs more readily maintain a space and leave together as a bolus.</w:t>
      </w:r>
    </w:p>
    <w:p>
      <w:hyperlink r:id="rId19">
        <w:r>
          <w:rPr>
            <w:rFonts w:ascii="Rubik" w:hAnsi="Rubik"/>
            <w:color w:val="275F69"/>
            <w:sz w:val="20"/>
          </w:rPr>
          <w:t>Ophthalmic Viscosurgical Devices</w:t>
        </w:r>
      </w:hyperlink>
    </w:p>
    <w:p>
      <w:pPr>
        <w:pStyle w:val="Heading2"/>
        <w:keepNext/>
        <w:pageBreakBefore/>
      </w:pPr>
      <w:r>
        <w:rPr>
          <w:rFonts w:ascii="Rubik" w:hAnsi="Rubik" w:eastAsia="Rubik"/>
          <w:b w:val="0"/>
          <w:color w:val="000000"/>
        </w:rPr>
        <w:t>Sample question 10</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Optics and refractive surgery</w:t>
      </w:r>
    </w:p>
    <w:p>
      <w:pPr>
        <w:keepNext/>
      </w:pPr>
      <w:r>
        <w:rPr>
          <w:rFonts w:ascii="Rubik" w:hAnsi="Rubik" w:eastAsia="Rubik"/>
          <w:b w:val="0"/>
          <w:color w:val="000000"/>
        </w:rPr>
        <w:t>Five weeks after LASIK, a patient reports worsening blur while using increasingly frequent topical prednisolone for presumed interface inflammation. A clear fluid space, rather than granular inflammatory cells, is seen beneath the flap. Central applanation is 11 mmHg, but peripheral pressure assessment is markedly elevated and the optic nerve is at risk. Which approach best addresses the demonstrated mechanism?</w:t>
      </w:r>
    </w:p>
    <w:p>
      <w:pPr>
        <w:keepNext/>
      </w:pPr>
      <w:r>
        <w:rPr>
          <w:rFonts w:ascii="Rubik" w:hAnsi="Rubik" w:eastAsia="Rubik"/>
          <w:b w:val="0"/>
          <w:color w:val="000000"/>
        </w:rPr>
        <w:t>A) Intensify steroid treatment for presumed diffuse lamellar keratitis and recheck central pressure</w:t>
      </w:r>
    </w:p>
    <w:p>
      <w:pPr>
        <w:keepNext/>
      </w:pPr>
      <w:r>
        <w:rPr>
          <w:rFonts w:ascii="Rubik" w:hAnsi="Rubik" w:eastAsia="Rubik"/>
          <w:b w:val="0"/>
          <w:color w:val="000000"/>
        </w:rPr>
        <w:t>B) Lift and irrigate the flap for severe lamellar inflammation while maintaining intensive steroid</w:t>
      </w:r>
    </w:p>
    <w:p>
      <w:pPr>
        <w:keepNext/>
      </w:pPr>
      <w:r>
        <w:rPr>
          <w:rFonts w:ascii="Rubik" w:hAnsi="Rubik" w:eastAsia="Rubik"/>
          <w:b w:val="0"/>
          <w:color w:val="000000"/>
        </w:rPr>
        <w:t>C) Stop steroid and start interface-directed antimicrobial treatment for presumed infection</w:t>
      </w:r>
    </w:p>
    <w:p>
      <w:pPr>
        <w:keepNext/>
      </w:pPr>
      <w:r>
        <w:rPr>
          <w:rFonts w:ascii="Rubik" w:hAnsi="Rubik" w:eastAsia="Rubik"/>
          <w:b w:val="0"/>
          <w:color w:val="000000"/>
        </w:rPr>
        <w:t>D) Reduce steroid exposure under supervision and actively lower the raised pressure</w:t>
      </w:r>
    </w:p>
    <w:p>
      <w:pPr>
        <w:keepNext/>
      </w:pPr>
      <w:r>
        <w:rPr>
          <w:rFonts w:ascii="Rubik" w:hAnsi="Rubik" w:eastAsia="Rubik"/>
          <w:b/>
          <w:color w:val="000000"/>
        </w:rPr>
        <w:t>Correct option: D) Reduce steroid exposure under supervision and actively lower the raised pressure</w:t>
      </w:r>
    </w:p>
    <w:p>
      <w:pPr>
        <w:keepNext/>
      </w:pPr>
      <w:r>
        <w:rPr>
          <w:rFonts w:ascii="Rubik" w:hAnsi="Rubik" w:eastAsia="Rubik"/>
          <w:b w:val="0"/>
          <w:color w:val="000000"/>
        </w:rPr>
        <w:t>This pattern indicates pressure-related interface fluid rather than typical early DLK, so escalating steroids can worsen it. Treating the raised pressure and reassessing the steroid regimen addresses the cause while following appropriate tonometry sites.</w:t>
      </w:r>
    </w:p>
    <w:p>
      <w:hyperlink r:id="rId18">
        <w:r>
          <w:rPr>
            <w:rFonts w:ascii="Rubik" w:hAnsi="Rubik"/>
            <w:color w:val="275F69"/>
            <w:sz w:val="20"/>
          </w:rPr>
          <w:t>Interface Fluid Syndrome</w:t>
        </w:r>
      </w:hyperlink>
    </w:p>
    <w:p>
      <w:hyperlink r:id="rId20">
        <w:r>
          <w:rPr>
            <w:rFonts w:ascii="Rubik" w:hAnsi="Rubik"/>
            <w:color w:val="275F69"/>
            <w:sz w:val="20"/>
          </w:rPr>
          <w:t>LASIK Complications</w:t>
        </w:r>
      </w:hyperlink>
    </w:p>
    <w:p>
      <w:pPr>
        <w:pStyle w:val="Heading2"/>
        <w:keepNext/>
        <w:pageBreakBefore/>
      </w:pPr>
      <w:r>
        <w:rPr>
          <w:rFonts w:ascii="Rubik" w:hAnsi="Rubik" w:eastAsia="Rubik"/>
          <w:b w:val="0"/>
          <w:color w:val="000000"/>
        </w:rPr>
        <w:t>Sample question 11</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Uveitis and inflammatory medicine</w:t>
      </w:r>
    </w:p>
    <w:p>
      <w:pPr>
        <w:keepNext/>
      </w:pPr>
      <w:r>
        <w:rPr>
          <w:rFonts w:ascii="Rubik" w:hAnsi="Rubik" w:eastAsia="Rubik"/>
          <w:b w:val="0"/>
          <w:color w:val="000000"/>
        </w:rPr>
        <w:t>A patient has noninfectious ocular inflammation that repeatedly relapses when systemic prednisolone is reduced. Conventional steroid-sparing treatment has been insufficient, and adalimumab is being considered. Records show established multiple sclerosis with a recent neurological relapse; tuberculosis and hepatitis screening do not identify infection. Which issue most directly changes the proposed biologic choice?</w:t>
      </w:r>
    </w:p>
    <w:p>
      <w:pPr>
        <w:keepNext/>
      </w:pPr>
      <w:r>
        <w:rPr>
          <w:rFonts w:ascii="Rubik" w:hAnsi="Rubik" w:eastAsia="Rubik"/>
          <w:b w:val="0"/>
          <w:color w:val="000000"/>
        </w:rPr>
        <w:t>A) Use repeated high-dose corticosteroid alone because demyelinating disease excludes every other immunomodulator</w:t>
      </w:r>
    </w:p>
    <w:p>
      <w:pPr>
        <w:keepNext/>
      </w:pPr>
      <w:r>
        <w:rPr>
          <w:rFonts w:ascii="Rubik" w:hAnsi="Rubik" w:eastAsia="Rubik"/>
          <w:b w:val="0"/>
          <w:color w:val="000000"/>
        </w:rPr>
        <w:t>B) Reconsider TNF blockade and coordinate a different steroid-sparing plan with neurology</w:t>
      </w:r>
    </w:p>
    <w:p>
      <w:pPr>
        <w:keepNext/>
      </w:pPr>
      <w:r>
        <w:rPr>
          <w:rFonts w:ascii="Rubik" w:hAnsi="Rubik" w:eastAsia="Rubik"/>
          <w:b w:val="0"/>
          <w:color w:val="000000"/>
        </w:rPr>
        <w:t>C) Proceed with adalimumab because infection screening is satisfactory and the uveitis is refractory</w:t>
      </w:r>
    </w:p>
    <w:p>
      <w:pPr>
        <w:keepNext/>
      </w:pPr>
      <w:r>
        <w:rPr>
          <w:rFonts w:ascii="Rubik" w:hAnsi="Rubik" w:eastAsia="Rubik"/>
          <w:b w:val="0"/>
          <w:color w:val="000000"/>
        </w:rPr>
        <w:t>D) Select another TNF inhibitor to avoid the neurological risk without revisiting the drug class</w:t>
      </w:r>
    </w:p>
    <w:p>
      <w:pPr>
        <w:keepNext/>
      </w:pPr>
      <w:r>
        <w:rPr>
          <w:rFonts w:ascii="Rubik" w:hAnsi="Rubik" w:eastAsia="Rubik"/>
          <w:b/>
          <w:color w:val="000000"/>
        </w:rPr>
        <w:t>Correct option: B) Reconsider TNF blockade and coordinate a different steroid-sparing plan with neurology</w:t>
      </w:r>
    </w:p>
    <w:p>
      <w:pPr>
        <w:keepNext/>
      </w:pPr>
      <w:r>
        <w:rPr>
          <w:rFonts w:ascii="Rubik" w:hAnsi="Rubik" w:eastAsia="Rubik"/>
          <w:b w:val="0"/>
          <w:color w:val="000000"/>
        </w:rPr>
        <w:t>Adalimumab carries a warning for new or exacerbated demyelinating disease. Existing neurological disease therefore requires specialist risk assessment and consideration of an alternative, even when infection screening is reassuring.</w:t>
      </w:r>
    </w:p>
    <w:p>
      <w:hyperlink r:id="rId21">
        <w:r>
          <w:rPr>
            <w:rFonts w:ascii="Rubik" w:hAnsi="Rubik"/>
            <w:color w:val="275F69"/>
            <w:sz w:val="20"/>
          </w:rPr>
          <w:t>HUMIRA adalimumab prescribing information</w:t>
        </w:r>
      </w:hyperlink>
    </w:p>
    <w:p>
      <w:hyperlink r:id="rId22">
        <w:r>
          <w:rPr>
            <w:rFonts w:ascii="Rubik" w:hAnsi="Rubik"/>
            <w:color w:val="275F69"/>
            <w:sz w:val="20"/>
          </w:rPr>
          <w:t>Treatment of Uveitis</w:t>
        </w:r>
      </w:hyperlink>
    </w:p>
    <w:p>
      <w:pPr>
        <w:pStyle w:val="Heading2"/>
        <w:keepNext/>
        <w:pageBreakBefore/>
      </w:pPr>
      <w:r>
        <w:rPr>
          <w:rFonts w:ascii="Rubik" w:hAnsi="Rubik" w:eastAsia="Rubik"/>
          <w:b w:val="0"/>
          <w:color w:val="000000"/>
        </w:rPr>
        <w:t>Sample question 12</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Glaucoma</w:t>
      </w:r>
    </w:p>
    <w:p>
      <w:pPr>
        <w:keepNext/>
      </w:pPr>
      <w:r>
        <w:rPr>
          <w:rFonts w:ascii="Rubik" w:hAnsi="Rubik" w:eastAsia="Rubik"/>
          <w:b w:val="0"/>
          <w:color w:val="000000"/>
        </w:rPr>
        <w:t>Two days after trabeculectomy, a hyperopic patient develops elevated pressure with uniformly shallow central and peripheral anterior chamber. The iridectomy is patent, there is no iris bombe, the bleb is not leaking, and ultrasound excludes a large choroidal detachment or hemorrhage. Aqueous misdirection is diagnosed. Which additional treatment is most appropriate alongside aqueous suppression?</w:t>
      </w:r>
    </w:p>
    <w:p>
      <w:pPr>
        <w:keepNext/>
      </w:pPr>
      <w:r>
        <w:rPr>
          <w:rFonts w:ascii="Rubik" w:hAnsi="Rubik" w:eastAsia="Rubik"/>
          <w:b w:val="0"/>
          <w:color w:val="000000"/>
        </w:rPr>
        <w:t>A) Enlargement of the already patent iridectomy as the sole mechanistic treatment</w:t>
      </w:r>
    </w:p>
    <w:p>
      <w:pPr>
        <w:keepNext/>
      </w:pPr>
      <w:r>
        <w:rPr>
          <w:rFonts w:ascii="Rubik" w:hAnsi="Rubik" w:eastAsia="Rubik"/>
          <w:b w:val="0"/>
          <w:color w:val="000000"/>
        </w:rPr>
        <w:t>B) Laser suture lysis to increase filtration before correcting chamber shallowing</w:t>
      </w:r>
    </w:p>
    <w:p>
      <w:pPr>
        <w:keepNext/>
      </w:pPr>
      <w:r>
        <w:rPr>
          <w:rFonts w:ascii="Rubik" w:hAnsi="Rubik" w:eastAsia="Rubik"/>
          <w:b w:val="0"/>
          <w:color w:val="000000"/>
        </w:rPr>
        <w:t>C) Cycloplegia to help move the lens-iris diaphragm posteriorly</w:t>
      </w:r>
    </w:p>
    <w:p>
      <w:pPr>
        <w:keepNext/>
      </w:pPr>
      <w:r>
        <w:rPr>
          <w:rFonts w:ascii="Rubik" w:hAnsi="Rubik" w:eastAsia="Rubik"/>
          <w:b w:val="0"/>
          <w:color w:val="000000"/>
        </w:rPr>
        <w:t>D) Pilocarpine to contract the ciliary muscle and move the diaphragm anteriorly</w:t>
      </w:r>
    </w:p>
    <w:p>
      <w:pPr>
        <w:keepNext/>
      </w:pPr>
      <w:r>
        <w:rPr>
          <w:rFonts w:ascii="Rubik" w:hAnsi="Rubik" w:eastAsia="Rubik"/>
          <w:b/>
          <w:color w:val="000000"/>
        </w:rPr>
        <w:t>Correct option: C) Cycloplegia to help move the lens-iris diaphragm posteriorly</w:t>
      </w:r>
    </w:p>
    <w:p>
      <w:pPr>
        <w:keepNext/>
      </w:pPr>
      <w:r>
        <w:rPr>
          <w:rFonts w:ascii="Rubik" w:hAnsi="Rubik" w:eastAsia="Rubik"/>
          <w:b w:val="0"/>
          <w:color w:val="000000"/>
        </w:rPr>
        <w:t>Cycloplegia is part of initial medical treatment for aqueous misdirection, with hyperosmotic treatment or hyaloid-disrupting procedures considered as needed. Miotics can aggravate forward displacement, and a patent iridotomy does not address the posterior fluid barrier.</w:t>
      </w:r>
    </w:p>
    <w:p>
      <w:hyperlink r:id="rId23">
        <w:r>
          <w:rPr>
            <w:rFonts w:ascii="Rubik" w:hAnsi="Rubik"/>
            <w:color w:val="275F69"/>
            <w:sz w:val="20"/>
          </w:rPr>
          <w:t>Vitreous Block: Malignant Glaucoma, Aqueous Misdirection</w:t>
        </w:r>
      </w:hyperlink>
    </w:p>
    <w:p>
      <w:pPr>
        <w:pStyle w:val="Heading2"/>
        <w:keepNext/>
        <w:pageBreakBefore/>
      </w:pPr>
      <w:r>
        <w:rPr>
          <w:rFonts w:ascii="Rubik" w:hAnsi="Rubik" w:eastAsia="Rubik"/>
          <w:b w:val="0"/>
          <w:color w:val="000000"/>
        </w:rPr>
        <w:t>Sample question 13</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A patient has a dense, sharply defined posterior polar lens opacity. Anterior-segment imaging raises concern that the posterior plaque is adherent to a fragile capsule. The surgeon plans phacoemulsification with low turbulence and ready access to vitreous-management equipment. Which modification most directly reduces the risk posed by this cataract subtype?</w:t>
      </w:r>
    </w:p>
    <w:p>
      <w:pPr>
        <w:keepNext/>
      </w:pPr>
      <w:r>
        <w:rPr>
          <w:rFonts w:ascii="Rubik" w:hAnsi="Rubik" w:eastAsia="Rubik"/>
          <w:b w:val="0"/>
          <w:color w:val="000000"/>
        </w:rPr>
        <w:t>A) Pull the plaque firmly with aspiration before removing the surrounding lens material</w:t>
      </w:r>
    </w:p>
    <w:p>
      <w:pPr>
        <w:keepNext/>
      </w:pPr>
      <w:r>
        <w:rPr>
          <w:rFonts w:ascii="Rubik" w:hAnsi="Rubik" w:eastAsia="Rubik"/>
          <w:b w:val="0"/>
          <w:color w:val="000000"/>
        </w:rPr>
        <w:t>B) Rotate the nucleus freely early to detach the posterior plaque from the capsule</w:t>
      </w:r>
    </w:p>
    <w:p>
      <w:pPr>
        <w:keepNext/>
      </w:pPr>
      <w:r>
        <w:rPr>
          <w:rFonts w:ascii="Rubik" w:hAnsi="Rubik" w:eastAsia="Rubik"/>
          <w:b w:val="0"/>
          <w:color w:val="000000"/>
        </w:rPr>
        <w:t>C) Perform vigorous hydrodissection until a complete fluid wave proves capsule separation</w:t>
      </w:r>
    </w:p>
    <w:p>
      <w:pPr>
        <w:keepNext/>
      </w:pPr>
      <w:r>
        <w:rPr>
          <w:rFonts w:ascii="Rubik" w:hAnsi="Rubik" w:eastAsia="Rubik"/>
          <w:b w:val="0"/>
          <w:color w:val="000000"/>
        </w:rPr>
        <w:t>D) Use controlled hydrodelineation and avoid forceful routine cortical-cleaving hydrodissection</w:t>
      </w:r>
    </w:p>
    <w:p>
      <w:pPr>
        <w:keepNext/>
      </w:pPr>
      <w:r>
        <w:rPr>
          <w:rFonts w:ascii="Rubik" w:hAnsi="Rubik" w:eastAsia="Rubik"/>
          <w:b/>
          <w:color w:val="000000"/>
        </w:rPr>
        <w:t>Correct option: D) Use controlled hydrodelineation and avoid forceful routine cortical-cleaving hydrodissection</w:t>
      </w:r>
    </w:p>
    <w:p>
      <w:pPr>
        <w:keepNext/>
      </w:pPr>
      <w:r>
        <w:rPr>
          <w:rFonts w:ascii="Rubik" w:hAnsi="Rubik" w:eastAsia="Rubik"/>
          <w:b w:val="0"/>
          <w:color w:val="000000"/>
        </w:rPr>
        <w:t>Posterior polar cataract may have a fragile or deficient posterior capsule, so forceful hydrodissection and rotation can precipitate rupture. Controlled hydrodelineation and restrained manipulation preserve protective layers while other lens material is removed.</w:t>
      </w:r>
    </w:p>
    <w:p>
      <w:hyperlink r:id="rId24">
        <w:r>
          <w:rPr>
            <w:rFonts w:ascii="Rubik" w:hAnsi="Rubik"/>
            <w:color w:val="275F69"/>
            <w:sz w:val="20"/>
          </w:rPr>
          <w:t>Posterior Polar Cataract</w:t>
        </w:r>
      </w:hyperlink>
    </w:p>
    <w:p>
      <w:pPr>
        <w:pStyle w:val="Heading2"/>
        <w:keepNext/>
        <w:pageBreakBefore/>
      </w:pPr>
      <w:r>
        <w:rPr>
          <w:rFonts w:ascii="Rubik" w:hAnsi="Rubik" w:eastAsia="Rubik"/>
          <w:b w:val="0"/>
          <w:color w:val="000000"/>
        </w:rPr>
        <w:t>Sample question 14</w:t>
      </w:r>
    </w:p>
    <w:p>
      <w:pPr>
        <w:keepNext/>
      </w:pPr>
      <w:r>
        <w:rPr>
          <w:rFonts w:ascii="Rubik" w:hAnsi="Rubik" w:eastAsia="Rubik"/>
          <w:b w:val="0"/>
          <w:color w:val="000000"/>
          <w:sz w:val="20"/>
        </w:rPr>
        <w:t>FRCOphth Part 2 | Part 2 | clinical reasoning</w:t>
      </w:r>
    </w:p>
    <w:p>
      <w:pPr>
        <w:keepNext/>
      </w:pPr>
      <w:r>
        <w:rPr>
          <w:rFonts w:ascii="Rubik" w:hAnsi="Rubik" w:eastAsia="Rubik"/>
          <w:b w:val="0"/>
          <w:color w:val="000000"/>
          <w:sz w:val="20"/>
        </w:rPr>
        <w:t>Topic: Cataract and lens surgery</w:t>
      </w:r>
    </w:p>
    <w:p>
      <w:pPr>
        <w:keepNext/>
      </w:pPr>
      <w:r>
        <w:rPr>
          <w:rFonts w:ascii="Rubik" w:hAnsi="Rubik" w:eastAsia="Rubik"/>
          <w:b w:val="0"/>
          <w:color w:val="000000"/>
        </w:rPr>
        <w:t>During cataract surgery, posterior capsular rupture occurs and a dense nuclear fragment descends beyond safe anterior visualization into the vitreous cavity. The anterior chamber has been stabilized with OVD; vitreous at the wound is being managed appropriately. The surgeon cannot safely visualize or support the fragment from below. Which subsequent action best limits additional harm?</w:t>
      </w:r>
    </w:p>
    <w:p>
      <w:pPr>
        <w:keepNext/>
      </w:pPr>
      <w:r>
        <w:rPr>
          <w:rFonts w:ascii="Rubik" w:hAnsi="Rubik" w:eastAsia="Rubik"/>
          <w:b w:val="0"/>
          <w:color w:val="000000"/>
        </w:rPr>
        <w:t>A) Avoid blind posterior retrieval and coordinate vitreoretinal lens-fragment management</w:t>
      </w:r>
    </w:p>
    <w:p>
      <w:pPr>
        <w:keepNext/>
      </w:pPr>
      <w:r>
        <w:rPr>
          <w:rFonts w:ascii="Rubik" w:hAnsi="Rubik" w:eastAsia="Rubik"/>
          <w:b w:val="0"/>
          <w:color w:val="000000"/>
        </w:rPr>
        <w:t>B) Attempt anterior retrieval with low-power phaco because the dense fragment is still lens material</w:t>
      </w:r>
    </w:p>
    <w:p>
      <w:pPr>
        <w:keepNext/>
      </w:pPr>
      <w:r>
        <w:rPr>
          <w:rFonts w:ascii="Rubik" w:hAnsi="Rubik" w:eastAsia="Rubik"/>
          <w:b w:val="0"/>
          <w:color w:val="000000"/>
        </w:rPr>
        <w:t>C) Leave the dense fragment indefinitely and use topical anti-inflammatory therapy alone</w:t>
      </w:r>
    </w:p>
    <w:p>
      <w:pPr>
        <w:keepNext/>
      </w:pPr>
      <w:r>
        <w:rPr>
          <w:rFonts w:ascii="Rubik" w:hAnsi="Rubik" w:eastAsia="Rubik"/>
          <w:b w:val="0"/>
          <w:color w:val="000000"/>
        </w:rPr>
        <w:t>D) Perform an anterior-chamber washout alone to eliminate the posterior inflammatory source</w:t>
      </w:r>
    </w:p>
    <w:p>
      <w:pPr>
        <w:keepNext/>
      </w:pPr>
      <w:r>
        <w:rPr>
          <w:rFonts w:ascii="Rubik" w:hAnsi="Rubik" w:eastAsia="Rubik"/>
          <w:b/>
          <w:color w:val="000000"/>
        </w:rPr>
        <w:t>Correct option: A) Avoid blind posterior retrieval and coordinate vitreoretinal lens-fragment management</w:t>
      </w:r>
    </w:p>
    <w:p>
      <w:pPr>
        <w:keepNext/>
      </w:pPr>
      <w:r>
        <w:rPr>
          <w:rFonts w:ascii="Rubik" w:hAnsi="Rubik" w:eastAsia="Rubik"/>
          <w:b w:val="0"/>
          <w:color w:val="000000"/>
        </w:rPr>
        <w:t>Blind anterior attempts to retrieve a dropped nuclear fragment risk vitreoretinal traction and further injury. Stabilise and complete safe anterior management, communicate the complication, and coordinate posterior-segment removal according to fragment burden and ocular status.</w:t>
      </w:r>
    </w:p>
    <w:p>
      <w:hyperlink r:id="rId25">
        <w:r>
          <w:rPr>
            <w:rFonts w:ascii="Rubik" w:hAnsi="Rubik"/>
            <w:color w:val="275F69"/>
            <w:sz w:val="20"/>
          </w:rPr>
          <w:t>Posterior Capsular Rent</w:t>
        </w:r>
      </w:hyperlink>
    </w:p>
    <w:p>
      <w:pPr>
        <w:pStyle w:val="Heading2"/>
        <w:keepNext/>
        <w:pageBreakBefore/>
      </w:pPr>
      <w:r>
        <w:rPr>
          <w:rFonts w:ascii="Rubik" w:hAnsi="Rubik" w:eastAsia="Rubik"/>
          <w:b w:val="0"/>
          <w:color w:val="000000"/>
        </w:rPr>
        <w:t>Sample question 15</w:t>
      </w:r>
    </w:p>
    <w:p>
      <w:pPr>
        <w:keepNext/>
      </w:pPr>
      <w:r>
        <w:rPr>
          <w:rFonts w:ascii="Rubik" w:hAnsi="Rubik" w:eastAsia="Rubik"/>
          <w:b w:val="0"/>
          <w:color w:val="000000"/>
          <w:sz w:val="20"/>
        </w:rPr>
        <w:t>FRCOphth Part 1 | Physiology | signal-generation experiment</w:t>
      </w:r>
    </w:p>
    <w:p>
      <w:pPr>
        <w:keepNext/>
      </w:pPr>
      <w:r>
        <w:rPr>
          <w:rFonts w:ascii="Rubik" w:hAnsi="Rubik" w:eastAsia="Rubik"/>
          <w:b w:val="0"/>
          <w:color w:val="000000"/>
          <w:sz w:val="20"/>
        </w:rPr>
        <w:t>Topic: Advanced neuro ophthalmology</w:t>
      </w:r>
    </w:p>
    <w:p>
      <w:pPr>
        <w:keepNext/>
      </w:pPr>
      <w:r>
        <w:rPr>
          <w:rFonts w:ascii="Rubik" w:hAnsi="Rubik" w:eastAsia="Rubik"/>
          <w:b w:val="0"/>
          <w:color w:val="000000"/>
        </w:rPr>
        <w:t>In an experimental retinal preparation, a sodium-channel blocker suppresses action-potential firing. The slow photopic negative response following the b-wave is markedly reduced, while the early photopic a-wave and b-wave remain largely preserved. Control recordings exclude a change in stimulus or electrode position. Which signal-generation explanation best accounts for this pharmacological dissociation?</w:t>
      </w:r>
    </w:p>
    <w:p>
      <w:pPr>
        <w:keepNext/>
      </w:pPr>
      <w:r>
        <w:rPr>
          <w:rFonts w:ascii="Rubik" w:hAnsi="Rubik" w:eastAsia="Rubik"/>
          <w:b w:val="0"/>
          <w:color w:val="000000"/>
        </w:rPr>
        <w:t>A) The preserved b-wave establishes that sodium-channel blockade was ineffective everywhere</w:t>
      </w:r>
    </w:p>
    <w:p>
      <w:pPr>
        <w:keepNext/>
      </w:pPr>
      <w:r>
        <w:rPr>
          <w:rFonts w:ascii="Rubik" w:hAnsi="Rubik" w:eastAsia="Rubik"/>
          <w:b w:val="0"/>
          <w:color w:val="000000"/>
        </w:rPr>
        <w:t>B) The late response depends substantially on ganglion-cell and axonal spiking, unlike the earlier graded responses</w:t>
      </w:r>
    </w:p>
    <w:p>
      <w:pPr>
        <w:keepNext/>
      </w:pPr>
      <w:r>
        <w:rPr>
          <w:rFonts w:ascii="Rubik" w:hAnsi="Rubik" w:eastAsia="Rubik"/>
          <w:b w:val="0"/>
          <w:color w:val="000000"/>
        </w:rPr>
        <w:t>C) All three components arise exclusively from the same cone outer-segment current</w:t>
      </w:r>
    </w:p>
    <w:p>
      <w:pPr>
        <w:keepNext/>
      </w:pPr>
      <w:r>
        <w:rPr>
          <w:rFonts w:ascii="Rubik" w:hAnsi="Rubik" w:eastAsia="Rubik"/>
          <w:b w:val="0"/>
          <w:color w:val="000000"/>
        </w:rPr>
        <w:t>D) The late response is an RPE light rise requiring prolonged dark adaptation</w:t>
      </w:r>
    </w:p>
    <w:p>
      <w:pPr>
        <w:keepNext/>
      </w:pPr>
      <w:r>
        <w:rPr>
          <w:rFonts w:ascii="Rubik" w:hAnsi="Rubik" w:eastAsia="Rubik"/>
          <w:b/>
          <w:color w:val="000000"/>
        </w:rPr>
        <w:t>Correct option: B) The late response depends substantially on ganglion-cell and axonal spiking, unlike the earlier graded responses</w:t>
      </w:r>
    </w:p>
    <w:p>
      <w:pPr>
        <w:keepNext/>
      </w:pPr>
      <w:r>
        <w:rPr>
          <w:rFonts w:ascii="Rubik" w:hAnsi="Rubik" w:eastAsia="Rubik"/>
          <w:b w:val="0"/>
          <w:color w:val="000000"/>
        </w:rPr>
        <w:t>The PhNR depends substantially on ganglion-cell and axonal spiking activity. Sodium-channel blockade can therefore attenuate it while earlier photoreceptor and bipolar-dominated graded responses remain.</w:t>
      </w:r>
    </w:p>
    <w:p>
      <w:hyperlink r:id="rId26">
        <w:r>
          <w:rPr>
            <w:rFonts w:ascii="Rubik" w:hAnsi="Rubik"/>
            <w:color w:val="275F69"/>
            <w:sz w:val="20"/>
          </w:rPr>
          <w:t>Electroretinogram</w:t>
        </w:r>
      </w:hyperlink>
    </w:p>
    <w:p>
      <w:hyperlink r:id="rId27">
        <w:r>
          <w:rPr>
            <w:rFonts w:ascii="Rubik" w:hAnsi="Rubik"/>
            <w:color w:val="275F69"/>
            <w:sz w:val="20"/>
          </w:rPr>
          <w:t>ISCEV extended PhNR protocol</w:t>
        </w:r>
      </w:hyperlink>
    </w:p>
    <w:p>
      <w:pPr>
        <w:pStyle w:val="Heading2"/>
        <w:keepNext/>
        <w:pageBreakBefore/>
      </w:pPr>
      <w:r>
        <w:rPr>
          <w:rFonts w:ascii="Rubik" w:hAnsi="Rubik" w:eastAsia="Rubik"/>
          <w:b w:val="0"/>
          <w:color w:val="000000"/>
        </w:rPr>
        <w:t>Sample question 16</w:t>
      </w:r>
    </w:p>
    <w:p>
      <w:pPr>
        <w:keepNext/>
      </w:pPr>
      <w:r>
        <w:rPr>
          <w:rFonts w:ascii="Rubik" w:hAnsi="Rubik" w:eastAsia="Rubik"/>
          <w:b w:val="0"/>
          <w:color w:val="000000"/>
          <w:sz w:val="20"/>
        </w:rPr>
        <w:t>FRCOphth Part 2 | Clinical | perioperative risk</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Nadia has dense fibrovascular proliferation with traction approaching the fovea. Vitrectomy is planned, and the surgeon considers preoperative anti-VEGF to reduce bleeding. An unexpected theatre closure means the operation may now be postponed for several weeks. Her retina is otherwise unchanged today. Which approach best addresses the new perioperative risk?</w:t>
      </w:r>
    </w:p>
    <w:p>
      <w:pPr>
        <w:keepNext/>
      </w:pPr>
      <w:r>
        <w:rPr>
          <w:rFonts w:ascii="Rubik" w:hAnsi="Rubik" w:eastAsia="Rubik"/>
          <w:b w:val="0"/>
          <w:color w:val="000000"/>
        </w:rPr>
        <w:t>A) Give the injection now and postpone surgery until all traction disappears</w:t>
      </w:r>
    </w:p>
    <w:p>
      <w:pPr>
        <w:keepNext/>
      </w:pPr>
      <w:r>
        <w:rPr>
          <w:rFonts w:ascii="Rubik" w:hAnsi="Rubik" w:eastAsia="Rubik"/>
          <w:b w:val="0"/>
          <w:color w:val="000000"/>
        </w:rPr>
        <w:t>B) Give the injection now and use the usual monthly macular-oedema schedule</w:t>
      </w:r>
    </w:p>
    <w:p>
      <w:pPr>
        <w:keepNext/>
      </w:pPr>
      <w:r>
        <w:rPr>
          <w:rFonts w:ascii="Rubik" w:hAnsi="Rubik" w:eastAsia="Rubik"/>
          <w:b w:val="0"/>
          <w:color w:val="000000"/>
        </w:rPr>
        <w:t>C) Cancel surgery and replace it with indefinite anti-VEGF monotherapy</w:t>
      </w:r>
    </w:p>
    <w:p>
      <w:pPr>
        <w:keepNext/>
      </w:pPr>
      <w:r>
        <w:rPr>
          <w:rFonts w:ascii="Rubik" w:hAnsi="Rubik" w:eastAsia="Rubik"/>
          <w:b w:val="0"/>
          <w:color w:val="000000"/>
        </w:rPr>
        <w:t>D) Reconfirm an appropriately timed surgical slot before administering the preoperative injection</w:t>
      </w:r>
    </w:p>
    <w:p>
      <w:pPr>
        <w:keepNext/>
      </w:pPr>
      <w:r>
        <w:rPr>
          <w:rFonts w:ascii="Rubik" w:hAnsi="Rubik" w:eastAsia="Rubik"/>
          <w:b/>
          <w:color w:val="000000"/>
        </w:rPr>
        <w:t>Correct option: D) Reconfirm an appropriately timed surgical slot before administering the preoperative injection</w:t>
      </w:r>
    </w:p>
    <w:p>
      <w:pPr>
        <w:keepNext/>
      </w:pPr>
      <w:r>
        <w:rPr>
          <w:rFonts w:ascii="Rubik" w:hAnsi="Rubik" w:eastAsia="Rubik"/>
          <w:b w:val="0"/>
          <w:color w:val="000000"/>
        </w:rPr>
        <w:t>Anti-VEGF can accelerate contraction in severely fibrotic PDR, so preoperative dosing should be coordinated with the intended operation. This selected surgical-risk situation should not be generalised to all PDR eyes enrolled in anti-VEGF trials.</w:t>
      </w:r>
    </w:p>
    <w:p>
      <w:hyperlink r:id="rId28">
        <w:r>
          <w:rPr>
            <w:rFonts w:ascii="Rubik" w:hAnsi="Rubik"/>
            <w:color w:val="275F69"/>
            <w:sz w:val="20"/>
          </w:rPr>
          <w:t>Crunch Syndrome</w:t>
        </w:r>
      </w:hyperlink>
    </w:p>
    <w:p>
      <w:hyperlink r:id="rId29">
        <w:r>
          <w:rPr>
            <w:rFonts w:ascii="Rubik" w:hAnsi="Rubik"/>
            <w:color w:val="275F69"/>
            <w:sz w:val="20"/>
          </w:rPr>
          <w:t>DRCR pooled trials: anti-VEGF and tractional detachment</w:t>
        </w:r>
      </w:hyperlink>
    </w:p>
    <w:p>
      <w:pPr>
        <w:pStyle w:val="Heading2"/>
        <w:keepNext/>
        <w:pageBreakBefore/>
      </w:pPr>
      <w:r>
        <w:rPr>
          <w:rFonts w:ascii="Rubik" w:hAnsi="Rubik" w:eastAsia="Rubik"/>
          <w:b w:val="0"/>
          <w:color w:val="000000"/>
        </w:rPr>
        <w:t>Sample question 17</w:t>
      </w:r>
    </w:p>
    <w:p>
      <w:pPr>
        <w:keepNext/>
      </w:pPr>
      <w:r>
        <w:rPr>
          <w:rFonts w:ascii="Rubik" w:hAnsi="Rubik" w:eastAsia="Rubik"/>
          <w:b w:val="0"/>
          <w:color w:val="000000"/>
          <w:sz w:val="20"/>
        </w:rPr>
        <w:t>FRCOphth Part 2 | Clinical | evidence and competing harm</w:t>
      </w:r>
    </w:p>
    <w:p>
      <w:pPr>
        <w:keepNext/>
      </w:pPr>
      <w:r>
        <w:rPr>
          <w:rFonts w:ascii="Rubik" w:hAnsi="Rubik" w:eastAsia="Rubik"/>
          <w:b w:val="0"/>
          <w:color w:val="000000"/>
          <w:sz w:val="20"/>
        </w:rPr>
        <w:t>Topic: Vitreoretinal surgery and trauma</w:t>
      </w:r>
    </w:p>
    <w:p>
      <w:pPr>
        <w:keepNext/>
      </w:pPr>
      <w:r>
        <w:rPr>
          <w:rFonts w:ascii="Rubik" w:hAnsi="Rubik" w:eastAsia="Rubik"/>
          <w:b w:val="0"/>
          <w:color w:val="000000"/>
        </w:rPr>
        <w:t>After blunt head trauma, a patient has unilateral profound visual loss and an RAPD consistent with indirect traumatic optic neuropathy. GCS is 13. Imaging shows no displaced fragment compressing the nerve, and examination excludes globe injury and orbital compartment syndrome. A colleague recommends automatic megadose IV methylprednisolone followed by optic-canal decompression. Which response best reflects the evidence?</w:t>
      </w:r>
    </w:p>
    <w:p>
      <w:pPr>
        <w:keepNext/>
      </w:pPr>
      <w:r>
        <w:rPr>
          <w:rFonts w:ascii="Rubik" w:hAnsi="Rubik" w:eastAsia="Rubik"/>
          <w:b w:val="0"/>
          <w:color w:val="000000"/>
        </w:rPr>
        <w:t>A) Stabilise the head injury and avoid routine megadose steroid or canal decompression</w:t>
      </w:r>
    </w:p>
    <w:p>
      <w:pPr>
        <w:keepNext/>
      </w:pPr>
      <w:r>
        <w:rPr>
          <w:rFonts w:ascii="Rubik" w:hAnsi="Rubik" w:eastAsia="Rubik"/>
          <w:b w:val="0"/>
          <w:color w:val="000000"/>
        </w:rPr>
        <w:t>B) Offer early canal decompression alone to avoid the systemic risks of methylprednisolone</w:t>
      </w:r>
    </w:p>
    <w:p>
      <w:pPr>
        <w:keepNext/>
      </w:pPr>
      <w:r>
        <w:rPr>
          <w:rFonts w:ascii="Rubik" w:hAnsi="Rubik" w:eastAsia="Rubik"/>
          <w:b w:val="0"/>
          <w:color w:val="000000"/>
        </w:rPr>
        <w:t>C) Use erythropoietin as the preferred initial treatment before reconsidering surgery</w:t>
      </w:r>
    </w:p>
    <w:p>
      <w:pPr>
        <w:keepNext/>
      </w:pPr>
      <w:r>
        <w:rPr>
          <w:rFonts w:ascii="Rubik" w:hAnsi="Rubik" w:eastAsia="Rubik"/>
          <w:b w:val="0"/>
          <w:color w:val="000000"/>
        </w:rPr>
        <w:t>D) Use megadose methylprednisolone first, reserving decompression for failure of visual recovery</w:t>
      </w:r>
    </w:p>
    <w:p>
      <w:pPr>
        <w:keepNext/>
      </w:pPr>
      <w:r>
        <w:rPr>
          <w:rFonts w:ascii="Rubik" w:hAnsi="Rubik" w:eastAsia="Rubik"/>
          <w:b/>
          <w:color w:val="000000"/>
        </w:rPr>
        <w:t>Correct option: A) Stabilise the head injury and avoid routine megadose steroid or canal decompression</w:t>
      </w:r>
    </w:p>
    <w:p>
      <w:pPr>
        <w:keepNext/>
      </w:pPr>
      <w:r>
        <w:rPr>
          <w:rFonts w:ascii="Rubik" w:hAnsi="Rubik" w:eastAsia="Rubik"/>
          <w:b w:val="0"/>
          <w:color w:val="000000"/>
        </w:rPr>
        <w:t>Routine steroid or canal-decompression benefit is unproven for indirect TON, and megadose steroids are harmful in significant head injury. Orbital compartment syndrome or a specific compressive lesion would require a separate urgent assessment.</w:t>
      </w:r>
    </w:p>
    <w:p>
      <w:hyperlink r:id="rId30">
        <w:r>
          <w:rPr>
            <w:rFonts w:ascii="Rubik" w:hAnsi="Rubik"/>
            <w:color w:val="275F69"/>
            <w:sz w:val="20"/>
          </w:rPr>
          <w:t>AAO report: interventions for indirect traumatic optic neuropathy</w:t>
        </w:r>
      </w:hyperlink>
    </w:p>
    <w:p>
      <w:hyperlink r:id="rId31">
        <w:r>
          <w:rPr>
            <w:rFonts w:ascii="Rubik" w:hAnsi="Rubik"/>
            <w:color w:val="275F69"/>
            <w:sz w:val="20"/>
          </w:rPr>
          <w:t>MRC CRASH randomised trial in head injury</w:t>
        </w:r>
      </w:hyperlink>
    </w:p>
    <w:p>
      <w:pPr>
        <w:pStyle w:val="Heading2"/>
        <w:keepNext/>
        <w:pageBreakBefore/>
      </w:pPr>
      <w:r>
        <w:rPr>
          <w:rFonts w:ascii="Rubik" w:hAnsi="Rubik" w:eastAsia="Rubik"/>
          <w:b w:val="0"/>
          <w:color w:val="000000"/>
        </w:rPr>
        <w:t>Sample question 18</w:t>
      </w:r>
    </w:p>
    <w:p>
      <w:pPr>
        <w:keepNext/>
      </w:pPr>
      <w:r>
        <w:rPr>
          <w:rFonts w:ascii="Rubik" w:hAnsi="Rubik" w:eastAsia="Rubik"/>
          <w:b w:val="0"/>
          <w:color w:val="000000"/>
          <w:sz w:val="20"/>
        </w:rPr>
        <w:t>FRCOphth Part 2 | Clinical | operation selection</w:t>
      </w:r>
    </w:p>
    <w:p>
      <w:pPr>
        <w:keepNext/>
      </w:pPr>
      <w:r>
        <w:rPr>
          <w:rFonts w:ascii="Rubik" w:hAnsi="Rubik" w:eastAsia="Rubik"/>
          <w:b w:val="0"/>
          <w:color w:val="000000"/>
          <w:sz w:val="20"/>
        </w:rPr>
        <w:t>Topic: Orbit lids and lacrimal selection</w:t>
      </w:r>
    </w:p>
    <w:p>
      <w:pPr>
        <w:keepNext/>
      </w:pPr>
      <w:r>
        <w:rPr>
          <w:rFonts w:ascii="Rubik" w:hAnsi="Rubik" w:eastAsia="Rubik"/>
          <w:b w:val="0"/>
          <w:color w:val="000000"/>
        </w:rPr>
        <w:t>An older patient has recurrent lower-lid entropion despite temporary everting sutures. The lid can be distracted widely from the globe, has delayed snap-back and shows reduced lower-lid excursion in downgaze. There is no posterior-lamellar conjunctival scarring. Which definitive operative strategy best addresses the demonstrated causes?</w:t>
      </w:r>
    </w:p>
    <w:p>
      <w:pPr>
        <w:keepNext/>
      </w:pPr>
      <w:r>
        <w:rPr>
          <w:rFonts w:ascii="Rubik" w:hAnsi="Rubik" w:eastAsia="Rubik"/>
          <w:b w:val="0"/>
          <w:color w:val="000000"/>
        </w:rPr>
        <w:t>A) Lower-lid retractor advancement alone without horizontal tightening</w:t>
      </w:r>
    </w:p>
    <w:p>
      <w:pPr>
        <w:keepNext/>
      </w:pPr>
      <w:r>
        <w:rPr>
          <w:rFonts w:ascii="Rubik" w:hAnsi="Rubik" w:eastAsia="Rubik"/>
          <w:b w:val="0"/>
          <w:color w:val="000000"/>
        </w:rPr>
        <w:t>B) Repeat everting sutures alone without correcting laxity or retractor failure</w:t>
      </w:r>
    </w:p>
    <w:p>
      <w:pPr>
        <w:keepNext/>
      </w:pPr>
      <w:r>
        <w:rPr>
          <w:rFonts w:ascii="Rubik" w:hAnsi="Rubik" w:eastAsia="Rubik"/>
          <w:b w:val="0"/>
          <w:color w:val="000000"/>
        </w:rPr>
        <w:t>C) Horizontal lid tightening alone without retractor correction</w:t>
      </w:r>
    </w:p>
    <w:p>
      <w:pPr>
        <w:keepNext/>
      </w:pPr>
      <w:r>
        <w:rPr>
          <w:rFonts w:ascii="Rubik" w:hAnsi="Rubik" w:eastAsia="Rubik"/>
          <w:b w:val="0"/>
          <w:color w:val="000000"/>
        </w:rPr>
        <w:t>D) Horizontal lid tightening with correction of lower-lid retractor failure</w:t>
      </w:r>
    </w:p>
    <w:p>
      <w:pPr>
        <w:keepNext/>
      </w:pPr>
      <w:r>
        <w:rPr>
          <w:rFonts w:ascii="Rubik" w:hAnsi="Rubik" w:eastAsia="Rubik"/>
          <w:b/>
          <w:color w:val="000000"/>
        </w:rPr>
        <w:t>Correct option: D) Horizontal lid tightening with correction of lower-lid retractor failure</w:t>
      </w:r>
    </w:p>
    <w:p>
      <w:pPr>
        <w:keepNext/>
      </w:pPr>
      <w:r>
        <w:rPr>
          <w:rFonts w:ascii="Rubik" w:hAnsi="Rubik" w:eastAsia="Rubik"/>
          <w:b w:val="0"/>
          <w:color w:val="000000"/>
        </w:rPr>
        <w:t>Involutional entropion commonly combines horizontal laxity with retractor dehiscence and orbicularis override. An operation should address the measured components rather than repeat a temporary rotation alone.</w:t>
      </w:r>
    </w:p>
    <w:p>
      <w:hyperlink r:id="rId32">
        <w:r>
          <w:rPr>
            <w:rFonts w:ascii="Rubik" w:hAnsi="Rubik"/>
            <w:color w:val="275F69"/>
            <w:sz w:val="20"/>
          </w:rPr>
          <w:t>Entropion</w:t>
        </w:r>
      </w:hyperlink>
    </w:p>
    <w:p>
      <w:pPr>
        <w:pStyle w:val="Heading2"/>
        <w:keepNext/>
        <w:pageBreakBefore/>
      </w:pPr>
      <w:r>
        <w:rPr>
          <w:rFonts w:ascii="Rubik" w:hAnsi="Rubik" w:eastAsia="Rubik"/>
          <w:b w:val="0"/>
          <w:color w:val="000000"/>
        </w:rPr>
        <w:t>Sample question 19</w:t>
      </w:r>
    </w:p>
    <w:p>
      <w:pPr>
        <w:keepNext/>
      </w:pPr>
      <w:r>
        <w:rPr>
          <w:rFonts w:ascii="Rubik" w:hAnsi="Rubik" w:eastAsia="Rubik"/>
          <w:b w:val="0"/>
          <w:color w:val="000000"/>
          <w:sz w:val="20"/>
        </w:rPr>
        <w:t>FRCOphth Part 2 | Clinical | long-term surveillance</w:t>
      </w:r>
    </w:p>
    <w:p>
      <w:pPr>
        <w:keepNext/>
      </w:pPr>
      <w:r>
        <w:rPr>
          <w:rFonts w:ascii="Rubik" w:hAnsi="Rubik" w:eastAsia="Rubik"/>
          <w:b w:val="0"/>
          <w:color w:val="000000"/>
          <w:sz w:val="20"/>
        </w:rPr>
        <w:t>Topic: Paediatric ophthalmology and strabismus</w:t>
      </w:r>
    </w:p>
    <w:p>
      <w:pPr>
        <w:keepNext/>
      </w:pPr>
      <w:r>
        <w:rPr>
          <w:rFonts w:ascii="Rubik" w:hAnsi="Rubik" w:eastAsia="Rubik"/>
          <w:b w:val="0"/>
          <w:color w:val="000000"/>
        </w:rPr>
        <w:t>A child had unilateral cataract removal in early infancy and now has a stable secondary IOL, useful corrected vision and normal IOP on repeated visits. At age eight, the family asks whether pressure and optic-nerve examinations can stop because the child is no longer aphakic. Which advice is most appropriate?</w:t>
      </w:r>
    </w:p>
    <w:p>
      <w:pPr>
        <w:keepNext/>
      </w:pPr>
      <w:r>
        <w:rPr>
          <w:rFonts w:ascii="Rubik" w:hAnsi="Rubik" w:eastAsia="Rubik"/>
          <w:b w:val="0"/>
          <w:color w:val="000000"/>
        </w:rPr>
        <w:t>A) End glaucoma surveillance after secondary IOL placement removes the aphakic risk</w:t>
      </w:r>
    </w:p>
    <w:p>
      <w:pPr>
        <w:keepNext/>
      </w:pPr>
      <w:r>
        <w:rPr>
          <w:rFonts w:ascii="Rubik" w:hAnsi="Rubik" w:eastAsia="Rubik"/>
          <w:b w:val="0"/>
          <w:color w:val="000000"/>
        </w:rPr>
        <w:t>B) End glaucoma surveillance after adolescence if pressure has remained normal</w:t>
      </w:r>
    </w:p>
    <w:p>
      <w:pPr>
        <w:keepNext/>
      </w:pPr>
      <w:r>
        <w:rPr>
          <w:rFonts w:ascii="Rubik" w:hAnsi="Rubik" w:eastAsia="Rubik"/>
          <w:b w:val="0"/>
          <w:color w:val="000000"/>
        </w:rPr>
        <w:t>C) Continue long-term glaucoma surveillance despite the IOL and current normal findings</w:t>
      </w:r>
    </w:p>
    <w:p>
      <w:pPr>
        <w:keepNext/>
      </w:pPr>
      <w:r>
        <w:rPr>
          <w:rFonts w:ascii="Rubik" w:hAnsi="Rubik" w:eastAsia="Rubik"/>
          <w:b w:val="0"/>
          <w:color w:val="000000"/>
        </w:rPr>
        <w:t>D) Reduce glaucoma surveillance to that used for a child without infant cataract surgery</w:t>
      </w:r>
    </w:p>
    <w:p>
      <w:pPr>
        <w:keepNext/>
      </w:pPr>
      <w:r>
        <w:rPr>
          <w:rFonts w:ascii="Rubik" w:hAnsi="Rubik" w:eastAsia="Rubik"/>
          <w:b/>
          <w:color w:val="000000"/>
        </w:rPr>
        <w:t>Correct option: C) Continue long-term glaucoma surveillance despite the IOL and current normal findings</w:t>
      </w:r>
    </w:p>
    <w:p>
      <w:pPr>
        <w:keepNext/>
      </w:pPr>
      <w:r>
        <w:rPr>
          <w:rFonts w:ascii="Rubik" w:hAnsi="Rubik" w:eastAsia="Rubik"/>
          <w:b w:val="0"/>
          <w:color w:val="000000"/>
        </w:rPr>
        <w:t>Glaucoma risk after infant cataract surgery accumulates over time and is not abolished by IOL implantation. Follow-up should include pressure and structural assessment as well as optical and amblyopia care.</w:t>
      </w:r>
    </w:p>
    <w:p>
      <w:hyperlink r:id="rId33">
        <w:r>
          <w:rPr>
            <w:rFonts w:ascii="Rubik" w:hAnsi="Rubik"/>
            <w:color w:val="275F69"/>
            <w:sz w:val="20"/>
          </w:rPr>
          <w:t>Cataracts in Children, Congenital and Acquired</w:t>
        </w:r>
      </w:hyperlink>
    </w:p>
    <w:p>
      <w:hyperlink r:id="rId34">
        <w:r>
          <w:rPr>
            <w:rFonts w:ascii="Rubik" w:hAnsi="Rubik"/>
            <w:color w:val="275F69"/>
            <w:sz w:val="20"/>
          </w:rPr>
          <w:t>IATS glaucoma events at ten years</w:t>
        </w:r>
      </w:hyperlink>
    </w:p>
    <w:p>
      <w:pPr>
        <w:pStyle w:val="Heading2"/>
        <w:keepNext/>
        <w:pageBreakBefore/>
      </w:pPr>
      <w:r>
        <w:rPr>
          <w:rFonts w:ascii="Rubik" w:hAnsi="Rubik" w:eastAsia="Rubik"/>
          <w:b w:val="0"/>
          <w:color w:val="000000"/>
        </w:rPr>
        <w:t>Sample question 20</w:t>
      </w:r>
    </w:p>
    <w:p>
      <w:pPr>
        <w:keepNext/>
      </w:pPr>
      <w:r>
        <w:rPr>
          <w:rFonts w:ascii="Rubik" w:hAnsi="Rubik" w:eastAsia="Rubik"/>
          <w:b w:val="0"/>
          <w:color w:val="000000"/>
          <w:sz w:val="20"/>
        </w:rPr>
        <w:t>FRCOphth Part 2 | Clinical | surgical risk reduction</w:t>
      </w:r>
    </w:p>
    <w:p>
      <w:pPr>
        <w:keepNext/>
      </w:pPr>
      <w:r>
        <w:rPr>
          <w:rFonts w:ascii="Rubik" w:hAnsi="Rubik" w:eastAsia="Rubik"/>
          <w:b w:val="0"/>
          <w:color w:val="000000"/>
          <w:sz w:val="20"/>
        </w:rPr>
        <w:t>Topic: Paediatric ophthalmology and strabismus</w:t>
      </w:r>
    </w:p>
    <w:p>
      <w:pPr>
        <w:keepNext/>
      </w:pPr>
      <w:r>
        <w:rPr>
          <w:rFonts w:ascii="Rubik" w:hAnsi="Rubik" w:eastAsia="Rubik"/>
          <w:b w:val="0"/>
          <w:color w:val="000000"/>
        </w:rPr>
        <w:t>A 72-year-old patient with diabetes has persistent complex strabismus after a previous encircling scleral buckle. Three rectus muscles in the same eye would need modification to obtain the proposed correction. The surgeon is reassessing the operative plan rather than its indication. Which change most directly reduces the risk of anterior segment ischaemia?</w:t>
      </w:r>
    </w:p>
    <w:p>
      <w:pPr>
        <w:keepNext/>
      </w:pPr>
      <w:r>
        <w:rPr>
          <w:rFonts w:ascii="Rubik" w:hAnsi="Rubik" w:eastAsia="Rubik"/>
          <w:b w:val="0"/>
          <w:color w:val="000000"/>
        </w:rPr>
        <w:t>A) Perform all three disinsertions together but use a smaller limbal incision</w:t>
      </w:r>
    </w:p>
    <w:p>
      <w:pPr>
        <w:keepNext/>
      </w:pPr>
      <w:r>
        <w:rPr>
          <w:rFonts w:ascii="Rubik" w:hAnsi="Rubik" w:eastAsia="Rubik"/>
          <w:b w:val="0"/>
          <w:color w:val="000000"/>
        </w:rPr>
        <w:t>B) Use recessions rather than resections while fully disinserting all three tendons together</w:t>
      </w:r>
    </w:p>
    <w:p>
      <w:pPr>
        <w:keepNext/>
      </w:pPr>
      <w:r>
        <w:rPr>
          <w:rFonts w:ascii="Rubik" w:hAnsi="Rubik" w:eastAsia="Rubik"/>
          <w:b w:val="0"/>
          <w:color w:val="000000"/>
        </w:rPr>
        <w:t>C) Consider staged or ciliary-vessel-sparing correction instead of simultaneous full-tendon disinsertion</w:t>
      </w:r>
    </w:p>
    <w:p>
      <w:pPr>
        <w:keepNext/>
      </w:pPr>
      <w:r>
        <w:rPr>
          <w:rFonts w:ascii="Rubik" w:hAnsi="Rubik" w:eastAsia="Rubik"/>
          <w:b w:val="0"/>
          <w:color w:val="000000"/>
        </w:rPr>
        <w:t>D) Keep three simultaneous disinsertions and rely on pressure-lowering drops to preserve perfusion</w:t>
      </w:r>
    </w:p>
    <w:p>
      <w:pPr>
        <w:keepNext/>
      </w:pPr>
      <w:r>
        <w:rPr>
          <w:rFonts w:ascii="Rubik" w:hAnsi="Rubik" w:eastAsia="Rubik"/>
          <w:b/>
          <w:color w:val="000000"/>
        </w:rPr>
        <w:t>Correct option: C) Consider staged or ciliary-vessel-sparing correction instead of simultaneous full-tendon disinsertion</w:t>
      </w:r>
    </w:p>
    <w:p>
      <w:pPr>
        <w:keepNext/>
      </w:pPr>
      <w:r>
        <w:rPr>
          <w:rFonts w:ascii="Rubik" w:hAnsi="Rubik" w:eastAsia="Rubik"/>
          <w:b w:val="0"/>
          <w:color w:val="000000"/>
        </w:rPr>
        <w:t>Age, vascular disease, prior buckle surgery and multiple rectus disinsertions increase perfusion risk. Staging, partial-tendon or vessel-sparing approaches can reduce that risk when anatomically suitable.</w:t>
      </w:r>
    </w:p>
    <w:p>
      <w:hyperlink r:id="rId35">
        <w:r>
          <w:rPr>
            <w:rFonts w:ascii="Rubik" w:hAnsi="Rubik"/>
            <w:color w:val="275F69"/>
            <w:sz w:val="20"/>
          </w:rPr>
          <w:t>Rectus plication and anterior segment circulation</w:t>
        </w:r>
      </w:hyperlink>
    </w:p>
    <w:p>
      <w:hyperlink r:id="rId36">
        <w:r>
          <w:rPr>
            <w:rFonts w:ascii="Rubik" w:hAnsi="Rubik"/>
            <w:color w:val="275F69"/>
            <w:sz w:val="20"/>
          </w:rPr>
          <w:t>Transposition Surgeries in Strabismus</w:t>
        </w:r>
      </w:hyperlink>
    </w:p>
    <w:sectPr w:rsidR="00FC693F" w:rsidRPr="0006063C" w:rsidSect="00034616">
      <w:headerReference w:type="default" r:id="rId9"/>
      <w:footerReference w:type="default" r:id="rId10"/>
      <w:pgSz w:w="11906" w:h="16838"/>
      <w:pgMar w:top="850" w:right="1134" w:bottom="850" w:left="1134" w:header="283"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Rubik" w:hAnsi="Rubik" w:eastAsia="Rubik"/>
        <w:color w:val="000000"/>
        <w:sz w:val="16"/>
      </w:rPr>
      <w:t>Zhong Han | Acuity Team</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Rubik" w:hAnsi="Rubik" w:eastAsia="Rubik"/>
        <w:color w:val="000000"/>
        <w:sz w:val="16"/>
      </w:rPr>
      <w:t>LKC OPHSOC / POST MBBS / FRCOphth PARTS 1 AND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Rubik" w:hAnsi="Rubik"/>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69" w:lineRule="auto"/>
      <w:outlineLvl w:val="0"/>
    </w:pPr>
    <w:rPr>
      <w:rFonts w:asciiTheme="majorHAnsi" w:eastAsiaTheme="majorEastAsia" w:hAnsiTheme="majorHAnsi" w:cstheme="majorBidi" w:ascii="Rubik" w:hAnsi="Rubik"/>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Theme="majorHAnsi" w:eastAsiaTheme="majorEastAsia" w:hAnsiTheme="majorHAnsi" w:cstheme="majorBidi" w:ascii="Rubik" w:hAnsi="Rubik"/>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9" w:lineRule="auto"/>
      <w:contextualSpacing/>
    </w:pPr>
    <w:rPr>
      <w:rFonts w:asciiTheme="majorHAnsi" w:eastAsiaTheme="majorEastAsia" w:hAnsiTheme="majorHAnsi" w:cstheme="majorBidi" w:ascii="Rubik" w:hAnsi="Rubik"/>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e.co.at/eilvterm/17-21-090" TargetMode="External"/><Relationship Id="rId12" Type="http://schemas.openxmlformats.org/officeDocument/2006/relationships/hyperlink" Target="https://eyewiki.org/Visual_Acuity_Testing_in_Adults" TargetMode="External"/><Relationship Id="rId13" Type="http://schemas.openxmlformats.org/officeDocument/2006/relationships/hyperlink" Target="https://eyewiki.org/Optic_Nerve_Sheath_Decompression" TargetMode="External"/><Relationship Id="rId14" Type="http://schemas.openxmlformats.org/officeDocument/2006/relationships/hyperlink" Target="https://www.ncbi.nlm.nih.gov/books/NBK12777/" TargetMode="External"/><Relationship Id="rId15" Type="http://schemas.openxmlformats.org/officeDocument/2006/relationships/hyperlink" Target="https://pubmed.ncbi.nlm.nih.gov/35124189/" TargetMode="External"/><Relationship Id="rId16" Type="http://schemas.openxmlformats.org/officeDocument/2006/relationships/hyperlink" Target="https://www.ncbi.nlm.nih.gov/books/NBK541095/?report=reader" TargetMode="External"/><Relationship Id="rId17" Type="http://schemas.openxmlformats.org/officeDocument/2006/relationships/hyperlink" Target="https://eyewiki.org/Duochrome_Test" TargetMode="External"/><Relationship Id="rId18" Type="http://schemas.openxmlformats.org/officeDocument/2006/relationships/hyperlink" Target="https://eyewiki.org/Interface_Fluid_Syndrome" TargetMode="External"/><Relationship Id="rId19" Type="http://schemas.openxmlformats.org/officeDocument/2006/relationships/hyperlink" Target="https://eyewiki.org/Ophthalmic_Viscosurgical_Devices" TargetMode="External"/><Relationship Id="rId20" Type="http://schemas.openxmlformats.org/officeDocument/2006/relationships/hyperlink" Target="https://eyewiki.org/LASIK_Complications" TargetMode="External"/><Relationship Id="rId21" Type="http://schemas.openxmlformats.org/officeDocument/2006/relationships/hyperlink" Target="https://dailymed.nlm.nih.gov/dailymed/lookup.cfm?setid=608d4f0d-b19f-46d3-749a-7159aa5f933d" TargetMode="External"/><Relationship Id="rId22" Type="http://schemas.openxmlformats.org/officeDocument/2006/relationships/hyperlink" Target="https://eyewiki.org/Treatment_of_Uveitis" TargetMode="External"/><Relationship Id="rId23" Type="http://schemas.openxmlformats.org/officeDocument/2006/relationships/hyperlink" Target="https://eyewiki.org/Aqueous_Misdirection" TargetMode="External"/><Relationship Id="rId24" Type="http://schemas.openxmlformats.org/officeDocument/2006/relationships/hyperlink" Target="https://eyewiki.org/Posterior_Polar_Cataract" TargetMode="External"/><Relationship Id="rId25" Type="http://schemas.openxmlformats.org/officeDocument/2006/relationships/hyperlink" Target="https://eyewiki.org/Posterior_capsular_rent" TargetMode="External"/><Relationship Id="rId26" Type="http://schemas.openxmlformats.org/officeDocument/2006/relationships/hyperlink" Target="https://eyewiki.org/Electroretinogram" TargetMode="External"/><Relationship Id="rId27" Type="http://schemas.openxmlformats.org/officeDocument/2006/relationships/hyperlink" Target="https://pmc.ncbi.nlm.nih.gov/articles/PMC6061118/" TargetMode="External"/><Relationship Id="rId28" Type="http://schemas.openxmlformats.org/officeDocument/2006/relationships/hyperlink" Target="https://eyewiki.org/Crunch_Syndrome" TargetMode="External"/><Relationship Id="rId29" Type="http://schemas.openxmlformats.org/officeDocument/2006/relationships/hyperlink" Target="https://pubmed.ncbi.nlm.nih.gov/31567817/" TargetMode="External"/><Relationship Id="rId30" Type="http://schemas.openxmlformats.org/officeDocument/2006/relationships/hyperlink" Target="https://pubmed.ncbi.nlm.nih.gov/33161071/" TargetMode="External"/><Relationship Id="rId31" Type="http://schemas.openxmlformats.org/officeDocument/2006/relationships/hyperlink" Target="https://pubmed.ncbi.nlm.nih.gov/15474134/" TargetMode="External"/><Relationship Id="rId32" Type="http://schemas.openxmlformats.org/officeDocument/2006/relationships/hyperlink" Target="https://eyewiki.org/Entropion" TargetMode="External"/><Relationship Id="rId33" Type="http://schemas.openxmlformats.org/officeDocument/2006/relationships/hyperlink" Target="https://eyewiki.org/Cataracts_in_Children,_Congenital_and_Acquired" TargetMode="External"/><Relationship Id="rId34" Type="http://schemas.openxmlformats.org/officeDocument/2006/relationships/hyperlink" Target="https://pubmed.ncbi.nlm.nih.gov/33331850/" TargetMode="External"/><Relationship Id="rId35" Type="http://schemas.openxmlformats.org/officeDocument/2006/relationships/hyperlink" Target="https://pubmed.ncbi.nlm.nih.gov/25342275/" TargetMode="External"/><Relationship Id="rId36" Type="http://schemas.openxmlformats.org/officeDocument/2006/relationships/hyperlink" Target="https://eyewiki.org/Transposition_Surgeries_in_Strabism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FRCOphth Twenty Sample Questions</dc:title>
  <dc:subject/>
  <dc:creator>Zhong Han | LKC OphSoc</dc:creator>
  <cp:keywords/>
  <dc:description>generated by python-docx</dc:description>
  <cp:lastModifiedBy/>
  <cp:revision>1</cp:revision>
  <dcterms:created xsi:type="dcterms:W3CDTF">2013-12-23T23:15:00Z</dcterms:created>
  <dcterms:modified xsi:type="dcterms:W3CDTF">2013-12-23T23:15:00Z</dcterms:modified>
  <cp:category/>
</cp:coreProperties>
</file>