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FAE" w:rsidRPr="00B43FAE" w:rsidRDefault="00B43FAE" w:rsidP="00B43FAE">
      <w:pPr>
        <w:spacing w:before="100" w:beforeAutospacing="1" w:after="100" w:afterAutospacing="1" w:line="153" w:lineRule="atLeast"/>
        <w:rPr>
          <w:rFonts w:ascii="Arial" w:eastAsia="Times New Roman" w:hAnsi="Arial" w:cs="Arial"/>
          <w:color w:val="333333"/>
          <w:sz w:val="11"/>
          <w:szCs w:val="11"/>
        </w:rPr>
      </w:pPr>
      <w:proofErr w:type="spellStart"/>
      <w:r w:rsidRPr="00B43FAE">
        <w:rPr>
          <w:rFonts w:ascii="Arial" w:eastAsia="Times New Roman" w:hAnsi="Arial" w:cs="Arial"/>
          <w:color w:val="333333"/>
          <w:sz w:val="11"/>
          <w:szCs w:val="11"/>
        </w:rPr>
        <w:t>Luminex</w:t>
      </w:r>
      <w:proofErr w:type="spellEnd"/>
      <w:r w:rsidRPr="00B43FAE">
        <w:rPr>
          <w:rFonts w:ascii="Arial" w:eastAsia="Times New Roman" w:hAnsi="Arial" w:cs="Arial"/>
          <w:color w:val="333333"/>
          <w:sz w:val="11"/>
          <w:szCs w:val="11"/>
        </w:rPr>
        <w:t xml:space="preserve"> assays are based on </w:t>
      </w:r>
      <w:proofErr w:type="spellStart"/>
      <w:r w:rsidRPr="00B43FAE">
        <w:rPr>
          <w:rFonts w:ascii="Arial" w:eastAsia="Times New Roman" w:hAnsi="Arial" w:cs="Arial"/>
          <w:color w:val="333333"/>
          <w:sz w:val="11"/>
          <w:szCs w:val="11"/>
        </w:rPr>
        <w:t>xMAP</w:t>
      </w:r>
      <w:proofErr w:type="spellEnd"/>
      <w:r w:rsidRPr="00B43FAE">
        <w:rPr>
          <w:rFonts w:ascii="Arial" w:eastAsia="Times New Roman" w:hAnsi="Arial" w:cs="Arial"/>
          <w:color w:val="333333"/>
          <w:sz w:val="11"/>
          <w:szCs w:val="11"/>
          <w:vertAlign w:val="superscript"/>
        </w:rPr>
        <w:t>®</w:t>
      </w:r>
      <w:r w:rsidRPr="00B43FAE">
        <w:rPr>
          <w:rFonts w:ascii="Arial" w:eastAsia="Times New Roman" w:hAnsi="Arial" w:cs="Arial"/>
          <w:color w:val="333333"/>
          <w:sz w:val="11"/>
          <w:szCs w:val="11"/>
        </w:rPr>
        <w:t xml:space="preserve"> technology (multi-</w:t>
      </w:r>
      <w:proofErr w:type="spellStart"/>
      <w:r w:rsidRPr="00B43FAE">
        <w:rPr>
          <w:rFonts w:ascii="Arial" w:eastAsia="Times New Roman" w:hAnsi="Arial" w:cs="Arial"/>
          <w:color w:val="333333"/>
          <w:sz w:val="11"/>
          <w:szCs w:val="11"/>
        </w:rPr>
        <w:t>analyte</w:t>
      </w:r>
      <w:proofErr w:type="spellEnd"/>
      <w:r w:rsidRPr="00B43FAE">
        <w:rPr>
          <w:rFonts w:ascii="Arial" w:eastAsia="Times New Roman" w:hAnsi="Arial" w:cs="Arial"/>
          <w:color w:val="333333"/>
          <w:sz w:val="11"/>
          <w:szCs w:val="11"/>
        </w:rPr>
        <w:t xml:space="preserve"> profiling beads) enabling the detection and </w:t>
      </w:r>
      <w:proofErr w:type="spellStart"/>
      <w:r w:rsidRPr="00B43FAE">
        <w:rPr>
          <w:rFonts w:ascii="Arial" w:eastAsia="Times New Roman" w:hAnsi="Arial" w:cs="Arial"/>
          <w:color w:val="333333"/>
          <w:sz w:val="11"/>
          <w:szCs w:val="11"/>
        </w:rPr>
        <w:t>quantitation</w:t>
      </w:r>
      <w:proofErr w:type="spellEnd"/>
      <w:r w:rsidRPr="00B43FAE">
        <w:rPr>
          <w:rFonts w:ascii="Arial" w:eastAsia="Times New Roman" w:hAnsi="Arial" w:cs="Arial"/>
          <w:color w:val="333333"/>
          <w:sz w:val="11"/>
          <w:szCs w:val="11"/>
        </w:rPr>
        <w:t xml:space="preserve"> of multiple RNA, DNA or protein targets simultaneously. The </w:t>
      </w:r>
      <w:proofErr w:type="spellStart"/>
      <w:r w:rsidRPr="00B43FAE">
        <w:rPr>
          <w:rFonts w:ascii="Arial" w:eastAsia="Times New Roman" w:hAnsi="Arial" w:cs="Arial"/>
          <w:color w:val="333333"/>
          <w:sz w:val="11"/>
          <w:szCs w:val="11"/>
        </w:rPr>
        <w:t>Luminex</w:t>
      </w:r>
      <w:proofErr w:type="spellEnd"/>
      <w:r w:rsidRPr="00B43FAE">
        <w:rPr>
          <w:rFonts w:ascii="Arial" w:eastAsia="Times New Roman" w:hAnsi="Arial" w:cs="Arial"/>
          <w:color w:val="333333"/>
          <w:sz w:val="11"/>
          <w:szCs w:val="11"/>
        </w:rPr>
        <w:t xml:space="preserve"> </w:t>
      </w:r>
      <w:proofErr w:type="spellStart"/>
      <w:r w:rsidRPr="00B43FAE">
        <w:rPr>
          <w:rFonts w:ascii="Arial" w:eastAsia="Times New Roman" w:hAnsi="Arial" w:cs="Arial"/>
          <w:color w:val="333333"/>
          <w:sz w:val="11"/>
          <w:szCs w:val="11"/>
        </w:rPr>
        <w:t>xMAP</w:t>
      </w:r>
      <w:proofErr w:type="spellEnd"/>
      <w:r w:rsidRPr="00B43FAE">
        <w:rPr>
          <w:rFonts w:ascii="Arial" w:eastAsia="Times New Roman" w:hAnsi="Arial" w:cs="Arial"/>
          <w:color w:val="333333"/>
          <w:sz w:val="11"/>
          <w:szCs w:val="11"/>
        </w:rPr>
        <w:t xml:space="preserve"> system combines a flow </w:t>
      </w:r>
      <w:proofErr w:type="spellStart"/>
      <w:r w:rsidRPr="00B43FAE">
        <w:rPr>
          <w:rFonts w:ascii="Arial" w:eastAsia="Times New Roman" w:hAnsi="Arial" w:cs="Arial"/>
          <w:color w:val="333333"/>
          <w:sz w:val="11"/>
          <w:szCs w:val="11"/>
        </w:rPr>
        <w:t>cytometer</w:t>
      </w:r>
      <w:proofErr w:type="spellEnd"/>
      <w:r w:rsidRPr="00B43FAE">
        <w:rPr>
          <w:rFonts w:ascii="Arial" w:eastAsia="Times New Roman" w:hAnsi="Arial" w:cs="Arial"/>
          <w:color w:val="333333"/>
          <w:sz w:val="11"/>
          <w:szCs w:val="11"/>
        </w:rPr>
        <w:t>, fluorescent-dyed microspheres (beads), lasers and digital signal processing to effectively allow multiplexing of up to 100 unique assays within a single sample.</w:t>
      </w:r>
    </w:p>
    <w:p w:rsidR="00B43FAE" w:rsidRPr="00B43FAE" w:rsidRDefault="00B43FAE" w:rsidP="00B43FAE">
      <w:pPr>
        <w:shd w:val="clear" w:color="auto" w:fill="FFFFFF"/>
        <w:spacing w:before="100" w:beforeAutospacing="1" w:after="100" w:afterAutospacing="1" w:line="153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The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QuantiGene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Plex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 DNA Assay is a hybridization-based assay using the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xMAP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  <w:vertAlign w:val="superscript"/>
        </w:rPr>
        <w:t xml:space="preserve">®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Luminex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  <w:vertAlign w:val="superscript"/>
        </w:rPr>
        <w:t xml:space="preserve">® </w:t>
      </w:r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magnetic beads and performed on 96-well plates. The assay is based on DIRECT quantification of the DNA targets using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xMAP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Luminex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 beads for multiplexing of 3 to 33 DNA targets and branched DNA (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bDNA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) signal amplification technology. On the first day the sample is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lysed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 to release the DNAs, and incubated overnight with target specific probe sets panel. On the second day the signal amplification tree is build via sequential hybridization of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PreAmplifier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 (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PreAmp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), Amplifier (Amp) and Label Probe (LP). Each amplification unit gives a 400 x signal amplification and there are six amplification units per target DNA copy leading to a 2,400 x signal amplification per copy DNA. The signal is detected by adding SAPE substrate and using a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Luminex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 instrument for the read out.</w:t>
      </w:r>
    </w:p>
    <w:p w:rsidR="00B43FAE" w:rsidRPr="00B43FAE" w:rsidRDefault="00B43FAE" w:rsidP="00B43FAE">
      <w:pPr>
        <w:shd w:val="clear" w:color="auto" w:fill="FFFFFF"/>
        <w:spacing w:after="0" w:line="153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noProof/>
          <w:color w:val="333333"/>
          <w:sz w:val="11"/>
          <w:szCs w:val="11"/>
        </w:rPr>
        <w:drawing>
          <wp:inline distT="0" distB="0" distL="0" distR="0">
            <wp:extent cx="6005195" cy="3430905"/>
            <wp:effectExtent l="19050" t="0" r="0" b="0"/>
            <wp:docPr id="6" name="Picture 6" descr="http://www.panomics.com/images/QGP%20DNA%20Work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anomics.com/images/QGP%20DNA%20Workflo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FAE" w:rsidRPr="00B43FAE" w:rsidRDefault="00B43FAE" w:rsidP="00B43FAE">
      <w:pPr>
        <w:shd w:val="clear" w:color="auto" w:fill="FFFFFF"/>
        <w:spacing w:before="100" w:beforeAutospacing="1" w:after="100" w:afterAutospacing="1" w:line="153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B43FAE">
        <w:rPr>
          <w:rFonts w:ascii="Verdana" w:eastAsia="Times New Roman" w:hAnsi="Verdana" w:cs="Times New Roman"/>
          <w:b/>
          <w:bCs/>
          <w:color w:val="333333"/>
          <w:sz w:val="11"/>
        </w:rPr>
        <w:t>Step 1-Sample Preparation</w:t>
      </w:r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: Samples are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lysed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 to release and stabilize DNA’s. The DNA assay works with a variety of samples such as: cultured cells, human, plant and animal tissues, FFPE tissues, whole blood and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PAXGene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 blood, or purified DNA.</w:t>
      </w:r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br/>
      </w:r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br/>
      </w:r>
      <w:r w:rsidRPr="00B43FAE">
        <w:rPr>
          <w:rFonts w:ascii="Verdana" w:eastAsia="Times New Roman" w:hAnsi="Verdana" w:cs="Times New Roman"/>
          <w:b/>
          <w:bCs/>
          <w:color w:val="333333"/>
          <w:sz w:val="11"/>
        </w:rPr>
        <w:t>Step 2-Target Hybridization</w:t>
      </w:r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: Overnight hybridization in the 96-well plates with the target specific probe sets panel (Capture extenders – CE’s, Label Extenders – LE’s and blocking probes).  </w:t>
      </w:r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br/>
      </w:r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br/>
      </w:r>
      <w:r w:rsidRPr="00B43FAE">
        <w:rPr>
          <w:rFonts w:ascii="Verdana" w:eastAsia="Times New Roman" w:hAnsi="Verdana" w:cs="Times New Roman"/>
          <w:b/>
          <w:bCs/>
          <w:color w:val="333333"/>
          <w:sz w:val="11"/>
        </w:rPr>
        <w:t>Step 3-Signal Amplification</w:t>
      </w:r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: Signal amplification is achieved using branch DNA (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bDNA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) technology. A Pre-Amplifier (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PreAmp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) molecule hybridizes to each pair of Label Extenders, but not to individual probes. Then, multiple Amplifier (Amp) molecules hybridize to each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PreAmp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. Finally, multiple Label Probe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oligonucleotides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 hybridize to each Amp.</w:t>
      </w:r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br/>
      </w:r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br/>
      </w:r>
      <w:r w:rsidRPr="00B43FAE">
        <w:rPr>
          <w:rFonts w:ascii="Verdana" w:eastAsia="Times New Roman" w:hAnsi="Verdana" w:cs="Times New Roman"/>
          <w:b/>
          <w:bCs/>
          <w:color w:val="333333"/>
          <w:sz w:val="11"/>
        </w:rPr>
        <w:t>Step 4-Detection</w:t>
      </w:r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: Addition of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streptavidin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phycoerythrin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 (SAPE) generates a signal that is proportional with the amount of target DNA present in the sample. The signal is read using a </w:t>
      </w:r>
      <w:proofErr w:type="spellStart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>Luminex</w:t>
      </w:r>
      <w:proofErr w:type="spellEnd"/>
      <w:r w:rsidRPr="00B43FAE">
        <w:rPr>
          <w:rFonts w:ascii="Verdana" w:eastAsia="Times New Roman" w:hAnsi="Verdana" w:cs="Times New Roman"/>
          <w:color w:val="333333"/>
          <w:sz w:val="11"/>
          <w:szCs w:val="11"/>
        </w:rPr>
        <w:t xml:space="preserve"> instrument.</w:t>
      </w:r>
    </w:p>
    <w:p w:rsidR="00622450" w:rsidRDefault="008263F9">
      <w:hyperlink r:id="rId5" w:history="1">
        <w:r w:rsidRPr="009A1640">
          <w:rPr>
            <w:rStyle w:val="Hyperlink"/>
          </w:rPr>
          <w:t>http://www.panomics.com/downloads/LUMINEX_V1.pdf</w:t>
        </w:r>
      </w:hyperlink>
    </w:p>
    <w:p w:rsidR="008263F9" w:rsidRDefault="008263F9"/>
    <w:sectPr w:rsidR="008263F9" w:rsidSect="002D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B43FAE"/>
    <w:rsid w:val="002D1A55"/>
    <w:rsid w:val="00622450"/>
    <w:rsid w:val="008263F9"/>
    <w:rsid w:val="00B4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FAE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A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43FAE"/>
    <w:rPr>
      <w:b/>
      <w:bCs/>
    </w:rPr>
  </w:style>
  <w:style w:type="character" w:styleId="Hyperlink">
    <w:name w:val="Hyperlink"/>
    <w:basedOn w:val="DefaultParagraphFont"/>
    <w:uiPriority w:val="99"/>
    <w:unhideWhenUsed/>
    <w:rsid w:val="006224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16321">
      <w:bodyDiv w:val="1"/>
      <w:marLeft w:val="306"/>
      <w:marRight w:val="0"/>
      <w:marTop w:val="0"/>
      <w:marBottom w:val="20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1859">
              <w:marLeft w:val="0"/>
              <w:marRight w:val="0"/>
              <w:marTop w:val="0"/>
              <w:marBottom w:val="0"/>
              <w:divBdr>
                <w:top w:val="single" w:sz="2" w:space="8" w:color="777777"/>
                <w:left w:val="single" w:sz="4" w:space="10" w:color="777777"/>
                <w:bottom w:val="single" w:sz="2" w:space="8" w:color="777777"/>
                <w:right w:val="single" w:sz="4" w:space="10" w:color="777777"/>
              </w:divBdr>
              <w:divsChild>
                <w:div w:id="63367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anomics.com/downloads/LUMINEX_V1.pd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MSM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2012-02-15T19:21:00Z</dcterms:created>
  <dcterms:modified xsi:type="dcterms:W3CDTF">2012-02-15T19:50:00Z</dcterms:modified>
</cp:coreProperties>
</file>