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20B685" w14:textId="77777777" w:rsidR="007A6C7F" w:rsidRPr="00F47CC1" w:rsidRDefault="007A6C7F">
      <w:bookmarkStart w:id="0" w:name="_GoBack"/>
      <w:bookmarkEnd w:id="0"/>
      <w:r w:rsidRPr="00C71BA7">
        <w:rPr>
          <w:b/>
        </w:rPr>
        <w:t>References:</w:t>
      </w:r>
    </w:p>
    <w:p w14:paraId="1B070C99" w14:textId="77777777" w:rsidR="004B50B6" w:rsidRDefault="004B50B6"/>
    <w:p w14:paraId="787B0765" w14:textId="77777777" w:rsidR="004B50B6" w:rsidRDefault="004B50B6" w:rsidP="004B50B6">
      <w:pPr>
        <w:pStyle w:val="Heading1"/>
      </w:pPr>
      <w:r>
        <w:t>Materials and Methods</w:t>
      </w:r>
    </w:p>
    <w:p w14:paraId="22D7A847" w14:textId="77777777" w:rsidR="00C0076B" w:rsidRDefault="004B50B6" w:rsidP="004B50B6">
      <w:pPr>
        <w:pStyle w:val="Heading2"/>
      </w:pPr>
      <w:r>
        <w:t>List of data sets</w:t>
      </w:r>
    </w:p>
    <w:p w14:paraId="465F6590" w14:textId="77777777" w:rsidR="005D63F5" w:rsidRDefault="00C0076B" w:rsidP="00533429">
      <w:pPr>
        <w:pStyle w:val="Heading3"/>
      </w:pPr>
      <w:r>
        <w:t>The analyzed data</w:t>
      </w:r>
      <w:r w:rsidR="009B11A0">
        <w:t xml:space="preserve"> for morphological plasticity</w:t>
      </w:r>
      <w:r>
        <w:t xml:space="preserve"> came from the </w:t>
      </w:r>
      <w:r w:rsidR="00533429">
        <w:t xml:space="preserve">saccharomyces </w:t>
      </w:r>
      <w:proofErr w:type="spellStart"/>
      <w:r w:rsidR="00533429">
        <w:t>cerevisiae</w:t>
      </w:r>
      <w:proofErr w:type="spellEnd"/>
      <w:r w:rsidR="00533429">
        <w:t xml:space="preserve"> morphology database</w:t>
      </w:r>
      <w:r>
        <w:t xml:space="preserve"> (SCMD)</w:t>
      </w:r>
    </w:p>
    <w:p w14:paraId="54C820E0" w14:textId="77777777" w:rsidR="00533429" w:rsidRPr="005D63F5" w:rsidRDefault="005D63F5" w:rsidP="005D63F5">
      <w:r w:rsidRPr="00AB1B27">
        <w:rPr>
          <w:rFonts w:ascii="Arial" w:hAnsi="Arial" w:cs="Arial"/>
          <w:sz w:val="20"/>
          <w:szCs w:val="20"/>
        </w:rPr>
        <w:t xml:space="preserve">Yeast deletion mutation with known effects on morphology is available at the </w:t>
      </w:r>
      <w:r w:rsidRPr="00AB1B27">
        <w:rPr>
          <w:rFonts w:ascii="Arial" w:hAnsi="Arial" w:cs="Arial"/>
          <w:i/>
          <w:sz w:val="20"/>
          <w:szCs w:val="20"/>
        </w:rPr>
        <w:t xml:space="preserve">Saccharomyces </w:t>
      </w:r>
      <w:proofErr w:type="spellStart"/>
      <w:r w:rsidRPr="00AB1B27">
        <w:rPr>
          <w:rFonts w:ascii="Arial" w:hAnsi="Arial" w:cs="Arial"/>
          <w:i/>
          <w:sz w:val="20"/>
          <w:szCs w:val="20"/>
        </w:rPr>
        <w:t>cerevisiae</w:t>
      </w:r>
      <w:proofErr w:type="spellEnd"/>
      <w:r w:rsidRPr="00AB1B27">
        <w:rPr>
          <w:rFonts w:ascii="Arial" w:hAnsi="Arial" w:cs="Arial"/>
          <w:sz w:val="20"/>
          <w:szCs w:val="20"/>
        </w:rPr>
        <w:t xml:space="preserve"> Morphological Database (SCMD, http://scmd.gi.k.u-tokyo.ac.jp/). SCMD provides a list of 501 morphological parameters in four groups: cell shapes, bud sizes, nucleus locations, and actin localizations </w:t>
      </w:r>
      <w:r w:rsidR="00EF474E">
        <w:rPr>
          <w:rFonts w:ascii="Arial" w:hAnsi="Arial" w:cs="Arial"/>
          <w:sz w:val="20"/>
          <w:szCs w:val="20"/>
        </w:rPr>
        <w:t>{</w:t>
      </w:r>
      <w:proofErr w:type="spellStart"/>
      <w:r w:rsidR="00EF474E">
        <w:rPr>
          <w:rFonts w:ascii="Arial" w:hAnsi="Arial" w:cs="Arial"/>
          <w:sz w:val="20"/>
          <w:szCs w:val="20"/>
        </w:rPr>
        <w:t>Ohya</w:t>
      </w:r>
      <w:proofErr w:type="spellEnd"/>
      <w:r w:rsidR="00EF474E">
        <w:rPr>
          <w:rFonts w:ascii="Arial" w:hAnsi="Arial" w:cs="Arial"/>
          <w:sz w:val="20"/>
          <w:szCs w:val="20"/>
        </w:rPr>
        <w:t>, 2005 #534}</w:t>
      </w:r>
      <w:r w:rsidRPr="00AB1B27">
        <w:rPr>
          <w:rFonts w:ascii="Arial" w:hAnsi="Arial" w:cs="Arial"/>
          <w:sz w:val="20"/>
          <w:szCs w:val="20"/>
        </w:rPr>
        <w:t>.</w:t>
      </w:r>
    </w:p>
    <w:p w14:paraId="1CA209DE" w14:textId="77777777" w:rsidR="002F43B5" w:rsidRDefault="006B129C" w:rsidP="00533429">
      <w:pPr>
        <w:pStyle w:val="Heading3"/>
      </w:pPr>
      <w:r>
        <w:t>RLS</w:t>
      </w:r>
    </w:p>
    <w:p w14:paraId="0F6150FC" w14:textId="77777777" w:rsidR="002F43B5" w:rsidRPr="004D1357" w:rsidRDefault="002F43B5" w:rsidP="002F43B5">
      <w:pPr>
        <w:ind w:firstLine="720"/>
        <w:jc w:val="both"/>
        <w:rPr>
          <w:rFonts w:ascii="Arial" w:hAnsi="Arial" w:cs="Arial"/>
          <w:sz w:val="20"/>
          <w:szCs w:val="20"/>
        </w:rPr>
      </w:pPr>
      <w:r w:rsidRPr="00AB1B27">
        <w:rPr>
          <w:rFonts w:ascii="Arial" w:hAnsi="Arial" w:cs="Arial"/>
          <w:sz w:val="20"/>
          <w:szCs w:val="20"/>
        </w:rPr>
        <w:t xml:space="preserve">The RLS data used by the students contain RLS for 564 genes measured by the </w:t>
      </w:r>
      <w:proofErr w:type="spellStart"/>
      <w:r w:rsidRPr="00AB1B27">
        <w:rPr>
          <w:rFonts w:ascii="Arial" w:hAnsi="Arial" w:cs="Arial"/>
          <w:sz w:val="20"/>
          <w:szCs w:val="20"/>
        </w:rPr>
        <w:t>Kaeberlein</w:t>
      </w:r>
      <w:proofErr w:type="spellEnd"/>
      <w:r w:rsidRPr="00AB1B27">
        <w:rPr>
          <w:rFonts w:ascii="Arial" w:hAnsi="Arial" w:cs="Arial"/>
          <w:sz w:val="20"/>
          <w:szCs w:val="20"/>
        </w:rPr>
        <w:t xml:space="preserve"> group </w:t>
      </w:r>
      <w:r w:rsidR="00EF474E">
        <w:rPr>
          <w:rFonts w:ascii="Arial" w:hAnsi="Arial" w:cs="Arial"/>
          <w:sz w:val="20"/>
          <w:szCs w:val="20"/>
        </w:rPr>
        <w:t>{</w:t>
      </w:r>
      <w:proofErr w:type="spellStart"/>
      <w:r w:rsidR="00EF474E">
        <w:rPr>
          <w:rFonts w:ascii="Arial" w:hAnsi="Arial" w:cs="Arial"/>
          <w:sz w:val="20"/>
          <w:szCs w:val="20"/>
        </w:rPr>
        <w:t>Managbanag</w:t>
      </w:r>
      <w:proofErr w:type="spellEnd"/>
      <w:r w:rsidR="00EF474E">
        <w:rPr>
          <w:rFonts w:ascii="Arial" w:hAnsi="Arial" w:cs="Arial"/>
          <w:sz w:val="20"/>
          <w:szCs w:val="20"/>
        </w:rPr>
        <w:t>, 2008 #563}</w:t>
      </w:r>
      <w:r w:rsidRPr="00AB1B27">
        <w:rPr>
          <w:rFonts w:ascii="Arial" w:hAnsi="Arial" w:cs="Arial"/>
          <w:sz w:val="20"/>
          <w:szCs w:val="20"/>
        </w:rPr>
        <w:t>.</w:t>
      </w:r>
    </w:p>
    <w:p w14:paraId="236C8407" w14:textId="77777777" w:rsidR="00533429" w:rsidRPr="002F43B5" w:rsidRDefault="00533429" w:rsidP="002F43B5"/>
    <w:p w14:paraId="1511C807" w14:textId="77777777" w:rsidR="002F43B5" w:rsidRDefault="006B129C" w:rsidP="00533429">
      <w:pPr>
        <w:pStyle w:val="Heading3"/>
      </w:pPr>
      <w:r>
        <w:t>Fitness</w:t>
      </w:r>
    </w:p>
    <w:p w14:paraId="663372F5" w14:textId="77777777" w:rsidR="006B129C" w:rsidRPr="002F43B5" w:rsidRDefault="002F43B5" w:rsidP="002F43B5">
      <w:proofErr w:type="gramStart"/>
      <w:r w:rsidRPr="00AB1B27">
        <w:rPr>
          <w:rFonts w:ascii="Arial" w:hAnsi="Arial" w:cs="Arial"/>
          <w:sz w:val="20"/>
          <w:szCs w:val="20"/>
        </w:rPr>
        <w:t>growth</w:t>
      </w:r>
      <w:proofErr w:type="gramEnd"/>
      <w:r w:rsidRPr="00AB1B27">
        <w:rPr>
          <w:rFonts w:ascii="Arial" w:hAnsi="Arial" w:cs="Arial"/>
          <w:sz w:val="20"/>
          <w:szCs w:val="20"/>
        </w:rPr>
        <w:t xml:space="preserve"> fitness measures in various conditions </w:t>
      </w:r>
      <w:r w:rsidR="00EF474E">
        <w:rPr>
          <w:rFonts w:ascii="Arial" w:hAnsi="Arial" w:cs="Arial"/>
          <w:sz w:val="20"/>
          <w:szCs w:val="20"/>
        </w:rPr>
        <w:t>{</w:t>
      </w:r>
      <w:proofErr w:type="spellStart"/>
      <w:r w:rsidR="00EF474E">
        <w:rPr>
          <w:rFonts w:ascii="Arial" w:hAnsi="Arial" w:cs="Arial"/>
          <w:sz w:val="20"/>
          <w:szCs w:val="20"/>
        </w:rPr>
        <w:t>Deutschbauer</w:t>
      </w:r>
      <w:proofErr w:type="spellEnd"/>
      <w:r w:rsidR="00EF474E">
        <w:rPr>
          <w:rFonts w:ascii="Arial" w:hAnsi="Arial" w:cs="Arial"/>
          <w:sz w:val="20"/>
          <w:szCs w:val="20"/>
        </w:rPr>
        <w:t>, 2005 #548;Steinmetz, 2002 #551}</w:t>
      </w:r>
    </w:p>
    <w:p w14:paraId="5ECE069B" w14:textId="77777777" w:rsidR="005D2E82" w:rsidRDefault="005D2E82" w:rsidP="00533429">
      <w:pPr>
        <w:pStyle w:val="Heading3"/>
      </w:pPr>
      <w:r>
        <w:t>N</w:t>
      </w:r>
      <w:r w:rsidR="006B129C">
        <w:t>etwork</w:t>
      </w:r>
    </w:p>
    <w:p w14:paraId="20E04DD7" w14:textId="77777777" w:rsidR="005D2E82" w:rsidRDefault="005D2E82" w:rsidP="005D2E82">
      <w:pPr>
        <w:ind w:firstLine="720"/>
        <w:jc w:val="both"/>
        <w:rPr>
          <w:rFonts w:ascii="Arial" w:hAnsi="Arial" w:cs="Arial"/>
          <w:sz w:val="20"/>
          <w:szCs w:val="20"/>
        </w:rPr>
      </w:pPr>
      <w:r>
        <w:rPr>
          <w:rFonts w:ascii="Arial" w:hAnsi="Arial" w:cs="Arial"/>
          <w:sz w:val="20"/>
          <w:szCs w:val="20"/>
        </w:rPr>
        <w:t xml:space="preserve">Several network datasets will be used, including protein-protein interactions from DIP, </w:t>
      </w:r>
      <w:proofErr w:type="spellStart"/>
      <w:r>
        <w:rPr>
          <w:rFonts w:ascii="Arial" w:hAnsi="Arial" w:cs="Arial"/>
          <w:sz w:val="20"/>
          <w:szCs w:val="20"/>
        </w:rPr>
        <w:t>BioGRID</w:t>
      </w:r>
      <w:proofErr w:type="spellEnd"/>
      <w:r>
        <w:rPr>
          <w:rFonts w:ascii="Arial" w:hAnsi="Arial" w:cs="Arial"/>
          <w:sz w:val="20"/>
          <w:szCs w:val="20"/>
        </w:rPr>
        <w:t xml:space="preserve">, and BIND </w:t>
      </w:r>
      <w:r w:rsidR="00EF474E">
        <w:rPr>
          <w:rFonts w:ascii="Arial" w:hAnsi="Arial" w:cs="Arial"/>
          <w:sz w:val="20"/>
          <w:szCs w:val="20"/>
        </w:rPr>
        <w:t>{</w:t>
      </w:r>
      <w:proofErr w:type="spellStart"/>
      <w:r w:rsidR="00EF474E">
        <w:rPr>
          <w:rFonts w:ascii="Arial" w:hAnsi="Arial" w:cs="Arial"/>
          <w:sz w:val="20"/>
          <w:szCs w:val="20"/>
        </w:rPr>
        <w:t>Xenarios</w:t>
      </w:r>
      <w:proofErr w:type="spellEnd"/>
      <w:r w:rsidR="00EF474E">
        <w:rPr>
          <w:rFonts w:ascii="Arial" w:hAnsi="Arial" w:cs="Arial"/>
          <w:sz w:val="20"/>
          <w:szCs w:val="20"/>
        </w:rPr>
        <w:t>, 2000 #1618;Bader, 2003 #2459;Stark, 2011 #2462}</w:t>
      </w:r>
      <w:r>
        <w:rPr>
          <w:rFonts w:ascii="Arial" w:hAnsi="Arial" w:cs="Arial"/>
          <w:sz w:val="20"/>
          <w:szCs w:val="20"/>
        </w:rPr>
        <w:t xml:space="preserve">, protein complexes </w:t>
      </w:r>
      <w:r w:rsidR="00EF474E">
        <w:rPr>
          <w:rFonts w:ascii="Arial" w:hAnsi="Arial" w:cs="Arial"/>
          <w:sz w:val="20"/>
          <w:szCs w:val="20"/>
        </w:rPr>
        <w:t>{</w:t>
      </w:r>
      <w:proofErr w:type="spellStart"/>
      <w:r w:rsidR="00EF474E">
        <w:rPr>
          <w:rFonts w:ascii="Arial" w:hAnsi="Arial" w:cs="Arial"/>
          <w:sz w:val="20"/>
          <w:szCs w:val="20"/>
        </w:rPr>
        <w:t>Warringer</w:t>
      </w:r>
      <w:proofErr w:type="spellEnd"/>
      <w:r w:rsidR="00EF474E">
        <w:rPr>
          <w:rFonts w:ascii="Arial" w:hAnsi="Arial" w:cs="Arial"/>
          <w:sz w:val="20"/>
          <w:szCs w:val="20"/>
        </w:rPr>
        <w:t>, 2003 #261;Warringer, 2003 #1969;Warringer, 2003 #261;Warringer, 2003 #1969}</w:t>
      </w:r>
      <w:r>
        <w:rPr>
          <w:rFonts w:ascii="Arial" w:hAnsi="Arial" w:cs="Arial"/>
          <w:sz w:val="20"/>
          <w:szCs w:val="20"/>
        </w:rPr>
        <w:t xml:space="preserve">, genetic interactions </w:t>
      </w:r>
      <w:r w:rsidR="00EF474E">
        <w:rPr>
          <w:rFonts w:ascii="Arial" w:hAnsi="Arial" w:cs="Arial"/>
          <w:sz w:val="20"/>
          <w:szCs w:val="20"/>
        </w:rPr>
        <w:t>{Costanzo, 2010 #2074}</w:t>
      </w:r>
      <w:r>
        <w:rPr>
          <w:rFonts w:ascii="Arial" w:hAnsi="Arial" w:cs="Arial"/>
          <w:sz w:val="20"/>
          <w:szCs w:val="20"/>
        </w:rPr>
        <w:t xml:space="preserve">. </w:t>
      </w:r>
    </w:p>
    <w:p w14:paraId="5816E94D" w14:textId="77777777" w:rsidR="006B129C" w:rsidRPr="005D2E82" w:rsidRDefault="006B129C" w:rsidP="005D2E82"/>
    <w:p w14:paraId="020111A8" w14:textId="77777777" w:rsidR="00CF6E4E" w:rsidRDefault="00E5174A" w:rsidP="00533429">
      <w:pPr>
        <w:pStyle w:val="Heading3"/>
      </w:pPr>
      <w:r>
        <w:lastRenderedPageBreak/>
        <w:t xml:space="preserve">GFP CV, </w:t>
      </w:r>
      <w:r w:rsidR="00EF474E">
        <w:t>{Newman, 2006 #2467}</w:t>
      </w:r>
    </w:p>
    <w:p w14:paraId="7E0F15F8" w14:textId="77777777" w:rsidR="00C0076B" w:rsidRDefault="00CF6E4E" w:rsidP="00533429">
      <w:pPr>
        <w:pStyle w:val="Heading3"/>
      </w:pPr>
      <w:r>
        <w:t>GEO CV of 3821</w:t>
      </w:r>
      <w:r w:rsidR="00C0076B">
        <w:t xml:space="preserve"> (glucose pulse)</w:t>
      </w:r>
      <w:r w:rsidR="00F440BC">
        <w:t xml:space="preserve"> </w:t>
      </w:r>
    </w:p>
    <w:p w14:paraId="23CAD74A" w14:textId="77777777" w:rsidR="00C0076B" w:rsidRDefault="00C0076B" w:rsidP="00533429">
      <w:pPr>
        <w:pStyle w:val="Heading3"/>
      </w:pPr>
      <w:r>
        <w:t xml:space="preserve">The variances and </w:t>
      </w:r>
      <w:r w:rsidR="00F235ED">
        <w:t>coefficient of variation data was calculated</w:t>
      </w:r>
    </w:p>
    <w:p w14:paraId="37B1F698" w14:textId="77777777" w:rsidR="00C0076B" w:rsidRDefault="004B50B6" w:rsidP="004B50B6">
      <w:pPr>
        <w:pStyle w:val="Heading2"/>
      </w:pPr>
      <w:r>
        <w:t>Analysis Methods</w:t>
      </w:r>
      <w:r w:rsidR="00C0076B">
        <w:t>:</w:t>
      </w:r>
    </w:p>
    <w:p w14:paraId="414DEE59" w14:textId="77777777" w:rsidR="00C0076B" w:rsidRDefault="00C0076B" w:rsidP="00C0076B">
      <w:pPr>
        <w:pStyle w:val="Heading3"/>
      </w:pPr>
      <w:r>
        <w:t>R statistical software was used to perform linear and multiple regression analysis on the different variable factors that comprise robustness</w:t>
      </w:r>
    </w:p>
    <w:p w14:paraId="65BDB0F5" w14:textId="77777777" w:rsidR="00C0076B" w:rsidRDefault="001360B0" w:rsidP="00C0076B">
      <w:pPr>
        <w:pStyle w:val="Heading3"/>
      </w:pPr>
      <w:r>
        <w:t>Firstly, r</w:t>
      </w:r>
      <w:r w:rsidR="00C0076B">
        <w:t>egression</w:t>
      </w:r>
      <w:r>
        <w:t xml:space="preserve"> analysis was performed</w:t>
      </w:r>
      <w:r w:rsidR="00C0076B">
        <w:t xml:space="preserve"> between each fitness growth me</w:t>
      </w:r>
      <w:r>
        <w:t>dium and RLS.</w:t>
      </w:r>
    </w:p>
    <w:p w14:paraId="393AA509" w14:textId="77777777" w:rsidR="001360B0" w:rsidRDefault="001360B0" w:rsidP="00C0076B">
      <w:pPr>
        <w:pStyle w:val="Heading3"/>
      </w:pPr>
      <w:r>
        <w:t>Regression analysis was then conducted between replicative lifespan and each of the proxies of robustness.</w:t>
      </w:r>
    </w:p>
    <w:p w14:paraId="19DA11AE" w14:textId="77777777" w:rsidR="001360B0" w:rsidRDefault="001360B0" w:rsidP="00C0076B">
      <w:pPr>
        <w:pStyle w:val="Heading3"/>
      </w:pPr>
      <w:r>
        <w:t xml:space="preserve">Multiple regression analysis was performed </w:t>
      </w:r>
    </w:p>
    <w:p w14:paraId="5DE4F7A8" w14:textId="77777777" w:rsidR="00AC1DCB" w:rsidRDefault="00AC1DCB" w:rsidP="0085073D">
      <w:pPr>
        <w:pStyle w:val="Heading2"/>
      </w:pPr>
    </w:p>
    <w:p w14:paraId="33FDD1C2" w14:textId="77777777" w:rsidR="00AC1DCB" w:rsidRDefault="00AC1DCB" w:rsidP="0085073D">
      <w:pPr>
        <w:pStyle w:val="Heading2"/>
      </w:pPr>
    </w:p>
    <w:p w14:paraId="2B64BE45" w14:textId="77777777" w:rsidR="00AC1DCB" w:rsidRPr="00AC1DCB" w:rsidRDefault="00AC1DCB" w:rsidP="00AC1DCB">
      <w:pPr>
        <w:pStyle w:val="Heading2"/>
        <w:ind w:left="720" w:hanging="720"/>
        <w:rPr>
          <w:rFonts w:ascii="Calibri" w:hAnsi="Calibri"/>
          <w:noProof/>
        </w:rPr>
      </w:pPr>
      <w:r>
        <w:fldChar w:fldCharType="begin"/>
      </w:r>
      <w:r>
        <w:instrText xml:space="preserve"> ADDIN EN.REFLIST </w:instrText>
      </w:r>
      <w:r>
        <w:fldChar w:fldCharType="separate"/>
      </w:r>
      <w:r w:rsidRPr="00AC1DCB">
        <w:rPr>
          <w:rFonts w:ascii="Calibri" w:hAnsi="Calibri"/>
          <w:noProof/>
        </w:rPr>
        <w:t>1.</w:t>
      </w:r>
      <w:r w:rsidRPr="00AC1DCB">
        <w:rPr>
          <w:rFonts w:ascii="Calibri" w:hAnsi="Calibri"/>
          <w:noProof/>
        </w:rPr>
        <w:tab/>
        <w:t xml:space="preserve">Ohya, Y., J. Sese, M. Yukawa, F. Sano, Y. Nakatani, T.L. Saito, A. Saka, T. Fukuda, S. Ishihara, S. Oka, G. Suzuki, M. Watanabe, A. Hirata, M. Ohtani, H. Sawai, N. Fraysse, J.P. Latge, J.M. Francois, M. Aebi, S. Tanaka, S. Muramatsu, H. Araki, K. Sonoike, S. Nogami, and S. Morishita, </w:t>
      </w:r>
      <w:r w:rsidRPr="00AC1DCB">
        <w:rPr>
          <w:rFonts w:ascii="Calibri" w:hAnsi="Calibri"/>
          <w:i/>
          <w:noProof/>
        </w:rPr>
        <w:t>High-dimensional and large-scale phenotyping of yeast mutants.</w:t>
      </w:r>
      <w:r w:rsidRPr="00AC1DCB">
        <w:rPr>
          <w:rFonts w:ascii="Calibri" w:hAnsi="Calibri"/>
          <w:noProof/>
        </w:rPr>
        <w:t xml:space="preserve"> Proc Natl Acad Sci U S A, 2005. 102(52): p. 19015-20.</w:t>
      </w:r>
    </w:p>
    <w:p w14:paraId="52E418C9" w14:textId="77777777" w:rsidR="00AC1DCB" w:rsidRPr="00AC1DCB" w:rsidRDefault="00AC1DCB" w:rsidP="00AC1DCB">
      <w:pPr>
        <w:pStyle w:val="Heading2"/>
        <w:ind w:left="720" w:hanging="720"/>
        <w:rPr>
          <w:rFonts w:ascii="Calibri" w:hAnsi="Calibri"/>
          <w:noProof/>
        </w:rPr>
      </w:pPr>
      <w:r w:rsidRPr="00AC1DCB">
        <w:rPr>
          <w:rFonts w:ascii="Calibri" w:hAnsi="Calibri"/>
          <w:noProof/>
        </w:rPr>
        <w:t>2.</w:t>
      </w:r>
      <w:r w:rsidRPr="00AC1DCB">
        <w:rPr>
          <w:rFonts w:ascii="Calibri" w:hAnsi="Calibri"/>
          <w:noProof/>
        </w:rPr>
        <w:tab/>
        <w:t xml:space="preserve">Managbanag, J.R., T.M. Witten, D. Bonchev, L.A. Fox, M. Tsuchiya, B.K. Kennedy, and M. Kaeberlein, </w:t>
      </w:r>
      <w:r w:rsidRPr="00AC1DCB">
        <w:rPr>
          <w:rFonts w:ascii="Calibri" w:hAnsi="Calibri"/>
          <w:i/>
          <w:noProof/>
        </w:rPr>
        <w:t>Shortest-path network analysis is a useful approach toward identifying genetic determinants of longevity.</w:t>
      </w:r>
      <w:r w:rsidRPr="00AC1DCB">
        <w:rPr>
          <w:rFonts w:ascii="Calibri" w:hAnsi="Calibri"/>
          <w:noProof/>
        </w:rPr>
        <w:t xml:space="preserve"> PLoS One, 2008. 3(11): p. e3802.</w:t>
      </w:r>
    </w:p>
    <w:p w14:paraId="1397A7F2" w14:textId="77777777" w:rsidR="00AC1DCB" w:rsidRPr="00AC1DCB" w:rsidRDefault="00AC1DCB" w:rsidP="00AC1DCB">
      <w:pPr>
        <w:pStyle w:val="Heading2"/>
        <w:ind w:left="720" w:hanging="720"/>
        <w:rPr>
          <w:rFonts w:ascii="Calibri" w:hAnsi="Calibri"/>
          <w:noProof/>
        </w:rPr>
      </w:pPr>
      <w:r w:rsidRPr="00AC1DCB">
        <w:rPr>
          <w:rFonts w:ascii="Calibri" w:hAnsi="Calibri"/>
          <w:noProof/>
        </w:rPr>
        <w:t>3.</w:t>
      </w:r>
      <w:r w:rsidRPr="00AC1DCB">
        <w:rPr>
          <w:rFonts w:ascii="Calibri" w:hAnsi="Calibri"/>
          <w:noProof/>
        </w:rPr>
        <w:tab/>
        <w:t xml:space="preserve">Deutschbauer, A.M., D.F. Jaramillo, M. Proctor, J. Kumm, M.E. Hillenmeyer, R.W. Davis, C. Nislow, and G. Giaever, </w:t>
      </w:r>
      <w:r w:rsidRPr="00AC1DCB">
        <w:rPr>
          <w:rFonts w:ascii="Calibri" w:hAnsi="Calibri"/>
          <w:i/>
          <w:noProof/>
        </w:rPr>
        <w:t>Mechanisms of haploinsufficiency revealed by genome-wide profiling in yeast.</w:t>
      </w:r>
      <w:r w:rsidRPr="00AC1DCB">
        <w:rPr>
          <w:rFonts w:ascii="Calibri" w:hAnsi="Calibri"/>
          <w:noProof/>
        </w:rPr>
        <w:t xml:space="preserve"> Genetics, 2005. 169(4): p. 1915-25.</w:t>
      </w:r>
    </w:p>
    <w:p w14:paraId="3C12A8FC" w14:textId="77777777" w:rsidR="00AC1DCB" w:rsidRPr="00AC1DCB" w:rsidRDefault="00AC1DCB" w:rsidP="00AC1DCB">
      <w:pPr>
        <w:pStyle w:val="Heading2"/>
        <w:ind w:left="720" w:hanging="720"/>
        <w:rPr>
          <w:rFonts w:ascii="Calibri" w:hAnsi="Calibri"/>
          <w:noProof/>
        </w:rPr>
      </w:pPr>
      <w:r w:rsidRPr="00AC1DCB">
        <w:rPr>
          <w:rFonts w:ascii="Calibri" w:hAnsi="Calibri"/>
          <w:noProof/>
        </w:rPr>
        <w:t>4.</w:t>
      </w:r>
      <w:r w:rsidRPr="00AC1DCB">
        <w:rPr>
          <w:rFonts w:ascii="Calibri" w:hAnsi="Calibri"/>
          <w:noProof/>
        </w:rPr>
        <w:tab/>
        <w:t xml:space="preserve">Steinmetz, L.M., C. Scharfe, A.M. Deutschbauer, D. Mokranjac, Z.S. Herman, T. Jones, A.M. Chu, G. Giaever, H. Prokisch, P.J. Oefner, and R.W. Davis, </w:t>
      </w:r>
      <w:r w:rsidRPr="00AC1DCB">
        <w:rPr>
          <w:rFonts w:ascii="Calibri" w:hAnsi="Calibri"/>
          <w:i/>
          <w:noProof/>
        </w:rPr>
        <w:t>Systematic screen for human disease genes in yeast.</w:t>
      </w:r>
      <w:r w:rsidRPr="00AC1DCB">
        <w:rPr>
          <w:rFonts w:ascii="Calibri" w:hAnsi="Calibri"/>
          <w:noProof/>
        </w:rPr>
        <w:t xml:space="preserve"> Nat Genet, 2002. 31(4): p. 400-4.</w:t>
      </w:r>
    </w:p>
    <w:p w14:paraId="32E99C9F" w14:textId="77777777" w:rsidR="00AC1DCB" w:rsidRPr="00AC1DCB" w:rsidRDefault="00AC1DCB" w:rsidP="00AC1DCB">
      <w:pPr>
        <w:pStyle w:val="Heading2"/>
        <w:ind w:left="720" w:hanging="720"/>
        <w:rPr>
          <w:rFonts w:ascii="Calibri" w:hAnsi="Calibri"/>
          <w:noProof/>
        </w:rPr>
      </w:pPr>
      <w:r w:rsidRPr="00AC1DCB">
        <w:rPr>
          <w:rFonts w:ascii="Calibri" w:hAnsi="Calibri"/>
          <w:noProof/>
        </w:rPr>
        <w:t>5.</w:t>
      </w:r>
      <w:r w:rsidRPr="00AC1DCB">
        <w:rPr>
          <w:rFonts w:ascii="Calibri" w:hAnsi="Calibri"/>
          <w:noProof/>
        </w:rPr>
        <w:tab/>
        <w:t xml:space="preserve">Xenarios, I., D.W. Rice, L. Salwinski, M.K. Baron, E.M. Marcotte, and D. Eisenberg, </w:t>
      </w:r>
      <w:r w:rsidRPr="00AC1DCB">
        <w:rPr>
          <w:rFonts w:ascii="Calibri" w:hAnsi="Calibri"/>
          <w:i/>
          <w:noProof/>
        </w:rPr>
        <w:t>DIP: the database of interacting proteins.</w:t>
      </w:r>
      <w:r w:rsidRPr="00AC1DCB">
        <w:rPr>
          <w:rFonts w:ascii="Calibri" w:hAnsi="Calibri"/>
          <w:noProof/>
        </w:rPr>
        <w:t xml:space="preserve"> Nucleic Acids Res, 2000. 28(1): p. 289-91.</w:t>
      </w:r>
    </w:p>
    <w:p w14:paraId="472A47C5" w14:textId="77777777" w:rsidR="00AC1DCB" w:rsidRPr="00AC1DCB" w:rsidRDefault="00AC1DCB" w:rsidP="00AC1DCB">
      <w:pPr>
        <w:pStyle w:val="Heading2"/>
        <w:ind w:left="720" w:hanging="720"/>
        <w:rPr>
          <w:rFonts w:ascii="Calibri" w:hAnsi="Calibri"/>
          <w:noProof/>
        </w:rPr>
      </w:pPr>
      <w:r w:rsidRPr="00AC1DCB">
        <w:rPr>
          <w:rFonts w:ascii="Calibri" w:hAnsi="Calibri"/>
          <w:noProof/>
        </w:rPr>
        <w:t>6.</w:t>
      </w:r>
      <w:r w:rsidRPr="00AC1DCB">
        <w:rPr>
          <w:rFonts w:ascii="Calibri" w:hAnsi="Calibri"/>
          <w:noProof/>
        </w:rPr>
        <w:tab/>
        <w:t xml:space="preserve">Bader, G.D., D. Betel, and C.W. Hogue, </w:t>
      </w:r>
      <w:r w:rsidRPr="00AC1DCB">
        <w:rPr>
          <w:rFonts w:ascii="Calibri" w:hAnsi="Calibri"/>
          <w:i/>
          <w:noProof/>
        </w:rPr>
        <w:t>BIND: the Biomolecular Interaction Network Database.</w:t>
      </w:r>
      <w:r w:rsidRPr="00AC1DCB">
        <w:rPr>
          <w:rFonts w:ascii="Calibri" w:hAnsi="Calibri"/>
          <w:noProof/>
        </w:rPr>
        <w:t xml:space="preserve"> Nucleic Acids Res, 2003. 31(1): p. 248-50.</w:t>
      </w:r>
    </w:p>
    <w:p w14:paraId="3C101966" w14:textId="77777777" w:rsidR="00AC1DCB" w:rsidRPr="00AC1DCB" w:rsidRDefault="00AC1DCB" w:rsidP="00AC1DCB">
      <w:pPr>
        <w:pStyle w:val="Heading2"/>
        <w:ind w:left="720" w:hanging="720"/>
        <w:rPr>
          <w:rFonts w:ascii="Calibri" w:hAnsi="Calibri"/>
          <w:noProof/>
        </w:rPr>
      </w:pPr>
      <w:r w:rsidRPr="00AC1DCB">
        <w:rPr>
          <w:rFonts w:ascii="Calibri" w:hAnsi="Calibri"/>
          <w:noProof/>
        </w:rPr>
        <w:t>7.</w:t>
      </w:r>
      <w:r w:rsidRPr="00AC1DCB">
        <w:rPr>
          <w:rFonts w:ascii="Calibri" w:hAnsi="Calibri"/>
          <w:noProof/>
        </w:rPr>
        <w:tab/>
        <w:t xml:space="preserve">Stark, C., B.J. Breitkreutz, A. Chatr-Aryamontri, L. Boucher, R. Oughtred, M.S. Livstone, J. Nixon, K. Van Auken, X. Wang, X. Shi, T. Reguly, J.M. Rust, A. Winter, K. Dolinski, and M. Tyers, </w:t>
      </w:r>
      <w:r w:rsidRPr="00AC1DCB">
        <w:rPr>
          <w:rFonts w:ascii="Calibri" w:hAnsi="Calibri"/>
          <w:i/>
          <w:noProof/>
        </w:rPr>
        <w:t>The BioGRID Interaction Database: 2011 update.</w:t>
      </w:r>
      <w:r w:rsidRPr="00AC1DCB">
        <w:rPr>
          <w:rFonts w:ascii="Calibri" w:hAnsi="Calibri"/>
          <w:noProof/>
        </w:rPr>
        <w:t xml:space="preserve"> Nucleic Acids Res, 2011. 39(Database issue): p. D698-704.</w:t>
      </w:r>
    </w:p>
    <w:p w14:paraId="50AB26CF" w14:textId="77777777" w:rsidR="00AC1DCB" w:rsidRPr="00AC1DCB" w:rsidRDefault="00AC1DCB" w:rsidP="00AC1DCB">
      <w:pPr>
        <w:pStyle w:val="Heading2"/>
        <w:ind w:left="720" w:hanging="720"/>
        <w:rPr>
          <w:rFonts w:ascii="Calibri" w:hAnsi="Calibri"/>
          <w:noProof/>
        </w:rPr>
      </w:pPr>
      <w:r w:rsidRPr="00AC1DCB">
        <w:rPr>
          <w:rFonts w:ascii="Calibri" w:hAnsi="Calibri"/>
          <w:noProof/>
        </w:rPr>
        <w:t>8.</w:t>
      </w:r>
      <w:r w:rsidRPr="00AC1DCB">
        <w:rPr>
          <w:rFonts w:ascii="Calibri" w:hAnsi="Calibri"/>
          <w:noProof/>
        </w:rPr>
        <w:tab/>
        <w:t xml:space="preserve">Warringer, J. and A. Blomberg, </w:t>
      </w:r>
      <w:r w:rsidRPr="00AC1DCB">
        <w:rPr>
          <w:rFonts w:ascii="Calibri" w:hAnsi="Calibri"/>
          <w:i/>
          <w:noProof/>
        </w:rPr>
        <w:t>Automated screening in environmental arrays allows analysis of quantitative phenotypic profiles in Saccharomyces cerevisiae.</w:t>
      </w:r>
      <w:r w:rsidRPr="00AC1DCB">
        <w:rPr>
          <w:rFonts w:ascii="Calibri" w:hAnsi="Calibri"/>
          <w:noProof/>
        </w:rPr>
        <w:t xml:space="preserve"> Yeast, 2003. 20(1): p. 53-67.</w:t>
      </w:r>
    </w:p>
    <w:p w14:paraId="50FCBB59" w14:textId="77777777" w:rsidR="00AC1DCB" w:rsidRPr="00AC1DCB" w:rsidRDefault="00AC1DCB" w:rsidP="00AC1DCB">
      <w:pPr>
        <w:pStyle w:val="Heading2"/>
        <w:ind w:left="720" w:hanging="720"/>
        <w:rPr>
          <w:rFonts w:ascii="Calibri" w:hAnsi="Calibri"/>
          <w:noProof/>
        </w:rPr>
      </w:pPr>
      <w:r w:rsidRPr="00AC1DCB">
        <w:rPr>
          <w:rFonts w:ascii="Calibri" w:hAnsi="Calibri"/>
          <w:noProof/>
        </w:rPr>
        <w:t>9.</w:t>
      </w:r>
      <w:r w:rsidRPr="00AC1DCB">
        <w:rPr>
          <w:rFonts w:ascii="Calibri" w:hAnsi="Calibri"/>
          <w:noProof/>
        </w:rPr>
        <w:tab/>
        <w:t xml:space="preserve">Warringer, J., E. Ericson, L. Fernandez, O. Nerman, and A. Blomberg, </w:t>
      </w:r>
      <w:r w:rsidRPr="00AC1DCB">
        <w:rPr>
          <w:rFonts w:ascii="Calibri" w:hAnsi="Calibri"/>
          <w:i/>
          <w:noProof/>
        </w:rPr>
        <w:t>High-resolution yeast phenomics resolves different physiological features in the saline response.</w:t>
      </w:r>
      <w:r w:rsidRPr="00AC1DCB">
        <w:rPr>
          <w:rFonts w:ascii="Calibri" w:hAnsi="Calibri"/>
          <w:noProof/>
        </w:rPr>
        <w:t xml:space="preserve"> Proc Natl Acad Sci U S A, 2003. 100(26): p. 15724-9.</w:t>
      </w:r>
    </w:p>
    <w:p w14:paraId="0AAC319B" w14:textId="77777777" w:rsidR="00AC1DCB" w:rsidRPr="00AC1DCB" w:rsidRDefault="00AC1DCB" w:rsidP="00AC1DCB">
      <w:pPr>
        <w:pStyle w:val="Heading2"/>
        <w:ind w:left="720" w:hanging="720"/>
        <w:rPr>
          <w:rFonts w:ascii="Calibri" w:hAnsi="Calibri"/>
          <w:noProof/>
        </w:rPr>
      </w:pPr>
      <w:r w:rsidRPr="00AC1DCB">
        <w:rPr>
          <w:rFonts w:ascii="Calibri" w:hAnsi="Calibri"/>
          <w:noProof/>
        </w:rPr>
        <w:t>10.</w:t>
      </w:r>
      <w:r w:rsidRPr="00AC1DCB">
        <w:rPr>
          <w:rFonts w:ascii="Calibri" w:hAnsi="Calibri"/>
          <w:noProof/>
        </w:rPr>
        <w:tab/>
        <w:t xml:space="preserve">Costanzo, M., A. Baryshnikova, J. Bellay, Y. Kim, E.D. Spear, C.S. Sevier, H. Ding, J.L. Koh, K. Toufighi, S. Mostafavi, J. Prinz, R.P. St Onge, B. VanderSluis, T. Makhnevych, F.J. Vizeacoumar, S. Alizadeh, S. Bahr, R.L. Brost, Y. Chen, M. Cokol, R. Deshpande, Z. Li, Z.Y. Lin, W. Liang, M. Marback, J. Paw, B.J. San Luis, E. Shuteriqi, A.H. Tong, N. van Dyk, I.M. Wallace, J.A. Whitney, M.T. Weirauch, G. Zhong, H. Zhu, W.A. Houry, M. Brudno, S. Ragibizadeh, B. Papp, C. Pal, F.P. Roth, G. Giaever, C. Nislow, O.G. Troyanskaya, H. Bussey, G.D. Bader, A.C. Gingras, Q.D. Morris, P.M. Kim, C.A. Kaiser, C.L. Myers, B.J. Andrews, and C. Boone, </w:t>
      </w:r>
      <w:r w:rsidRPr="00AC1DCB">
        <w:rPr>
          <w:rFonts w:ascii="Calibri" w:hAnsi="Calibri"/>
          <w:i/>
          <w:noProof/>
        </w:rPr>
        <w:t>The genetic landscape of a cell.</w:t>
      </w:r>
      <w:r w:rsidRPr="00AC1DCB">
        <w:rPr>
          <w:rFonts w:ascii="Calibri" w:hAnsi="Calibri"/>
          <w:noProof/>
        </w:rPr>
        <w:t xml:space="preserve"> Science, 2010. 327(5964): p. 425-31.</w:t>
      </w:r>
    </w:p>
    <w:p w14:paraId="0AF7CCD8" w14:textId="77777777" w:rsidR="00AC1DCB" w:rsidRPr="00AC1DCB" w:rsidRDefault="00AC1DCB" w:rsidP="00AC1DCB">
      <w:pPr>
        <w:pStyle w:val="Heading2"/>
        <w:ind w:left="720" w:hanging="720"/>
        <w:rPr>
          <w:rFonts w:ascii="Calibri" w:hAnsi="Calibri"/>
          <w:noProof/>
        </w:rPr>
      </w:pPr>
      <w:r w:rsidRPr="00AC1DCB">
        <w:rPr>
          <w:rFonts w:ascii="Calibri" w:hAnsi="Calibri"/>
          <w:noProof/>
        </w:rPr>
        <w:t>11.</w:t>
      </w:r>
      <w:r w:rsidRPr="00AC1DCB">
        <w:rPr>
          <w:rFonts w:ascii="Calibri" w:hAnsi="Calibri"/>
          <w:noProof/>
        </w:rPr>
        <w:tab/>
        <w:t xml:space="preserve">Newman, J.R., S. Ghaemmaghami, J. Ihmels, D.K. Breslow, M. Noble, J.L. DeRisi, and J.S. Weissman, </w:t>
      </w:r>
      <w:r w:rsidRPr="00AC1DCB">
        <w:rPr>
          <w:rFonts w:ascii="Calibri" w:hAnsi="Calibri"/>
          <w:i/>
          <w:noProof/>
        </w:rPr>
        <w:t>Single-cell proteomic analysis of S. cerevisiae reveals the architecture of biological noise.</w:t>
      </w:r>
      <w:r w:rsidRPr="00AC1DCB">
        <w:rPr>
          <w:rFonts w:ascii="Calibri" w:hAnsi="Calibri"/>
          <w:noProof/>
        </w:rPr>
        <w:t xml:space="preserve"> Nature, 2006. 441(7095): p. 840-6.</w:t>
      </w:r>
    </w:p>
    <w:p w14:paraId="5F7A4386" w14:textId="77777777" w:rsidR="00AC1DCB" w:rsidRDefault="00AC1DCB" w:rsidP="00AC1DCB">
      <w:pPr>
        <w:pStyle w:val="Heading2"/>
        <w:ind w:left="720" w:hanging="720"/>
        <w:rPr>
          <w:noProof/>
        </w:rPr>
      </w:pPr>
    </w:p>
    <w:p w14:paraId="707D4956" w14:textId="77777777" w:rsidR="0085073D" w:rsidRPr="001400A8" w:rsidRDefault="00AC1DCB" w:rsidP="0085073D">
      <w:pPr>
        <w:pStyle w:val="Heading2"/>
      </w:pPr>
      <w:r>
        <w:fldChar w:fldCharType="end"/>
      </w:r>
    </w:p>
    <w:sectPr w:rsidR="0085073D" w:rsidRPr="001400A8" w:rsidSect="008E412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2"/>
  </w:compat>
  <w:docVars>
    <w:docVar w:name="EN.InstantFormat" w:val="&lt;ENInstantFormat&gt;&lt;Enabled&gt;0&lt;/Enabled&gt;&lt;ScanUnformatted&gt;1&lt;/ScanUnformatted&gt;&lt;ScanChanges&gt;1&lt;/ScanChanges&gt;&lt;/ENInstantFormat&gt;"/>
    <w:docVar w:name="EN.Layout" w:val="&lt;ENLayout&gt;&lt;Style&gt;Qin-CV&lt;/Style&gt;&lt;LeftDelim&gt;{&lt;/LeftDelim&gt;&lt;RightDelim&gt;}&lt;/RightDelim&gt;&lt;FontName&gt;Calibri&lt;/FontName&gt;&lt;FontSize&gt;13&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qin-network-aging2012August.enl&lt;/item&gt;&lt;/Libraries&gt;&lt;/ENLibraries&gt;"/>
  </w:docVars>
  <w:rsids>
    <w:rsidRoot w:val="00E23FB7"/>
    <w:rsid w:val="00001D13"/>
    <w:rsid w:val="000637E1"/>
    <w:rsid w:val="00063D5D"/>
    <w:rsid w:val="00080C8F"/>
    <w:rsid w:val="000C4642"/>
    <w:rsid w:val="001360B0"/>
    <w:rsid w:val="001400A8"/>
    <w:rsid w:val="001636B5"/>
    <w:rsid w:val="001804EE"/>
    <w:rsid w:val="00192A3C"/>
    <w:rsid w:val="001B08AC"/>
    <w:rsid w:val="001D0F64"/>
    <w:rsid w:val="002306BC"/>
    <w:rsid w:val="00290C78"/>
    <w:rsid w:val="002D3AA8"/>
    <w:rsid w:val="002D6F58"/>
    <w:rsid w:val="002F43B5"/>
    <w:rsid w:val="00304F7C"/>
    <w:rsid w:val="00312DC6"/>
    <w:rsid w:val="00363266"/>
    <w:rsid w:val="00392793"/>
    <w:rsid w:val="003B3106"/>
    <w:rsid w:val="00422A4B"/>
    <w:rsid w:val="00441626"/>
    <w:rsid w:val="004A083D"/>
    <w:rsid w:val="004B50B6"/>
    <w:rsid w:val="004D097B"/>
    <w:rsid w:val="00533429"/>
    <w:rsid w:val="005D2E82"/>
    <w:rsid w:val="005D63F5"/>
    <w:rsid w:val="005E71D1"/>
    <w:rsid w:val="00676076"/>
    <w:rsid w:val="006B129C"/>
    <w:rsid w:val="006D0CEC"/>
    <w:rsid w:val="006E05D4"/>
    <w:rsid w:val="006E474B"/>
    <w:rsid w:val="006E6100"/>
    <w:rsid w:val="007A4C85"/>
    <w:rsid w:val="007A6C7F"/>
    <w:rsid w:val="00806281"/>
    <w:rsid w:val="00806BA8"/>
    <w:rsid w:val="008345DE"/>
    <w:rsid w:val="0085073D"/>
    <w:rsid w:val="008923E8"/>
    <w:rsid w:val="008E4123"/>
    <w:rsid w:val="008F4759"/>
    <w:rsid w:val="009B11A0"/>
    <w:rsid w:val="009F4816"/>
    <w:rsid w:val="00A36EDA"/>
    <w:rsid w:val="00A77495"/>
    <w:rsid w:val="00A948BC"/>
    <w:rsid w:val="00AC1DCB"/>
    <w:rsid w:val="00AE6166"/>
    <w:rsid w:val="00AF5E6F"/>
    <w:rsid w:val="00B42804"/>
    <w:rsid w:val="00C0076B"/>
    <w:rsid w:val="00C108AA"/>
    <w:rsid w:val="00C71BA7"/>
    <w:rsid w:val="00C87459"/>
    <w:rsid w:val="00CF6E4E"/>
    <w:rsid w:val="00E23FB7"/>
    <w:rsid w:val="00E5174A"/>
    <w:rsid w:val="00E75BC6"/>
    <w:rsid w:val="00E953FC"/>
    <w:rsid w:val="00EF474E"/>
    <w:rsid w:val="00F22B2A"/>
    <w:rsid w:val="00F235ED"/>
    <w:rsid w:val="00F440BC"/>
    <w:rsid w:val="00F47CC1"/>
    <w:rsid w:val="00F96B27"/>
    <w:rsid w:val="00FC46F9"/>
    <w:rsid w:val="00FD7BE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3C56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BA8"/>
    <w:rPr>
      <w:sz w:val="24"/>
      <w:szCs w:val="24"/>
      <w:lang w:eastAsia="en-US"/>
    </w:rPr>
  </w:style>
  <w:style w:type="paragraph" w:styleId="Heading1">
    <w:name w:val="heading 1"/>
    <w:basedOn w:val="Normal"/>
    <w:next w:val="Normal"/>
    <w:link w:val="Heading1Char"/>
    <w:uiPriority w:val="9"/>
    <w:qFormat/>
    <w:rsid w:val="004B50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B50B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342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3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B50B6"/>
    <w:rPr>
      <w:rFonts w:asciiTheme="majorHAnsi" w:eastAsiaTheme="majorEastAsia" w:hAnsiTheme="majorHAnsi" w:cstheme="majorBidi"/>
      <w:b/>
      <w:bCs/>
      <w:color w:val="345A8A" w:themeColor="accent1" w:themeShade="B5"/>
      <w:sz w:val="32"/>
      <w:szCs w:val="32"/>
      <w:lang w:eastAsia="en-US"/>
    </w:rPr>
  </w:style>
  <w:style w:type="character" w:customStyle="1" w:styleId="Heading2Char">
    <w:name w:val="Heading 2 Char"/>
    <w:basedOn w:val="DefaultParagraphFont"/>
    <w:link w:val="Heading2"/>
    <w:uiPriority w:val="9"/>
    <w:rsid w:val="004B50B6"/>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533429"/>
    <w:rPr>
      <w:rFonts w:asciiTheme="majorHAnsi" w:eastAsiaTheme="majorEastAsia" w:hAnsiTheme="majorHAnsi" w:cstheme="majorBidi"/>
      <w:b/>
      <w:bCs/>
      <w:color w:val="4F81BD" w:themeColor="accent1"/>
      <w:sz w:val="24"/>
      <w:szCs w:val="24"/>
      <w:lang w:eastAsia="en-US"/>
    </w:rPr>
  </w:style>
  <w:style w:type="paragraph" w:styleId="BalloonText">
    <w:name w:val="Balloon Text"/>
    <w:basedOn w:val="Normal"/>
    <w:link w:val="BalloonTextChar"/>
    <w:uiPriority w:val="99"/>
    <w:semiHidden/>
    <w:unhideWhenUsed/>
    <w:rsid w:val="006E61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6100"/>
    <w:rPr>
      <w:rFonts w:ascii="Lucida Grande"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4B50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B50B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342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3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B50B6"/>
    <w:rPr>
      <w:rFonts w:asciiTheme="majorHAnsi" w:eastAsiaTheme="majorEastAsia" w:hAnsiTheme="majorHAnsi" w:cstheme="majorBidi"/>
      <w:b/>
      <w:bCs/>
      <w:color w:val="345A8A" w:themeColor="accent1" w:themeShade="B5"/>
      <w:sz w:val="32"/>
      <w:szCs w:val="32"/>
      <w:lang w:eastAsia="en-US"/>
    </w:rPr>
  </w:style>
  <w:style w:type="character" w:customStyle="1" w:styleId="Heading2Char">
    <w:name w:val="Heading 2 Char"/>
    <w:basedOn w:val="DefaultParagraphFont"/>
    <w:link w:val="Heading2"/>
    <w:uiPriority w:val="9"/>
    <w:rsid w:val="004B50B6"/>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533429"/>
    <w:rPr>
      <w:rFonts w:asciiTheme="majorHAnsi" w:eastAsiaTheme="majorEastAsia" w:hAnsiTheme="majorHAnsi" w:cstheme="majorBidi"/>
      <w:b/>
      <w:bCs/>
      <w:color w:val="4F81BD" w:themeColor="accent1"/>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314F502-3E1F-C043-9E8B-AF60C3497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3</Pages>
  <Words>696</Words>
  <Characters>3973</Characters>
  <Application>Microsoft Macintosh Word</Application>
  <DocSecurity>0</DocSecurity>
  <Lines>33</Lines>
  <Paragraphs>9</Paragraphs>
  <ScaleCrop>false</ScaleCrop>
  <Company/>
  <LinksUpToDate>false</LinksUpToDate>
  <CharactersWithSpaces>4660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Alexander</dc:creator>
  <cp:keywords/>
  <dc:description/>
  <cp:lastModifiedBy>Amanda Alexander</cp:lastModifiedBy>
  <cp:revision>46</cp:revision>
  <dcterms:created xsi:type="dcterms:W3CDTF">2012-10-23T20:14:00Z</dcterms:created>
  <dcterms:modified xsi:type="dcterms:W3CDTF">2013-03-05T17:06:00Z</dcterms:modified>
</cp:coreProperties>
</file>