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土壤沉积物与固体环境样品送样单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□土壤   □沉积物   □污泥   □固废   □植物/生物质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□pH/EC/含水率   □有机质/TOC   □金属   □营养盐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□有机污染物   □粒径   □其他：________________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采样/深度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地点：________________   深度：________   采样时间：________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预处理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□原样湿样   □风干   □冷冻干燥   □研磨过筛   □需前处理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保存条件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□常温   □4℃   □-20℃   □避光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干燥、研磨、消解和萃取均会消耗或改变样品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不同指标对风干、冷冻、过筛粒径和保存条件要求不同，送样前应明确目标项目。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挥发性有机物、微生物活性和形态分析通常不宜风干或长时间暴露，应使用密封冷藏/冷冻样。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样品应充分代表采样点并混匀；异质性较强时建议提供足量样品和现场信息。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