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X射线CT三维成像送样单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□块体   □颗粒集合   □器件   □生物/复合样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□微米CT   □高分辨CT   □原位加载/加热   □三维重构/定量分析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直径/宽度：________   高度：________   最大关注结构：________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关注内容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□孔隙   □裂纹   □夹杂   □内部结构   □体积分数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固定方式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□可胶粘固定   □不可胶粘   □需密封   □由实验室确定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常规CT通常无损；原位、切割或固定处理可能改变样品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样品应能稳定固定并在旋转过程中不移动；尺寸越大或密度越高，空间分辨率通常越低。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请说明主要元素、密度差异和目标缺陷尺度，以便选择管电压、滤片和体素尺寸。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金属厚件、高原子序数材料或多材料组合可能产生束硬化、条纹等伪影。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