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太赫兹与特殊光谱送样单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□粉末压片   □薄膜   □晶体   □液体池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测试模式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□透射   □反射   □时域谱   □温变   □偏振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频率范围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□0.1–10 THz   □指定：________________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样品尺寸/厚度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直径/面积：________   厚度：________   基底：________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含水/吸湿性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□干燥稳定   □易吸湿   □含水   □需惰性/密封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压片、干燥和密封处理可能改变样品状态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水对太赫兹辐射吸收很强，样品应尽量干燥并注明含水量和环境湿度要求。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粉末常需与低吸收基体混合压片；薄膜和晶体需提供厚度、基底及表面平整度。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高吸收或过厚样品可能无有效透射信号，应提前评估并准备不同厚度。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