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水质常规与营养盐分析送样单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□地表水   □地下水   □废水   □海水   □反应液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□pH/电导率   □COD   □BOD₅   □TN   □TP   □NH₄⁺-N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□NO₃⁻/NO₂⁻   □TOC   □浊度   □其他：________________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采样信息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采样时间：________   地点：________   保存剂：________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保存条件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□冷藏   □冷冻   □酸化   □避光   □现场固定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过滤要求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□总量不滤   □溶解态过滤   滤膜：________ μm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分析会消耗样品，部分项目需加入保存剂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不同指标的容器、保存剂和最长保存时间不同，应在采样前确认方法要求并尽快送检。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总量和溶解态结果不可混用；需明确是否过滤及过滤时间，过滤过程可能改变颗粒结合态组分。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易挥发、易氧化还原或生物活性强的指标应尽量现场固定、避光冷藏并缩短运输时间。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