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Raman拉曼光谱送样单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□液体   □薄膜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测试类型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□常温   □高温   □低温   □Mapping   □原位/变气氛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激光波长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□325   □405   □455   □488   □514   □532   □633   □785   □1064 nm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位置/区域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□默认3个位置   □指定数量：________   Mapping区域：________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温度/范围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温度点：________________   Raman位移范围：________________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关注峰位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关注峰/参考谱：____________________________________________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激光照射或高低温处理可能引起局部损伤或相变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粉末建议提供10 mg以上；块体建议不小于1×1 mm；液体建议提供1 mL以上。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样品若易荧光、易燃、易碳化、易热分解或对激光敏感，必须提前说明并优先采用低功率测试。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不同激光波长可能导致峰强和荧光背景差异；如无指定，由实验室根据样品颜色和文献选择。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高温、低温、Mapping和原位测试需明确温度点、区域、步长、气氛及时间要求。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