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UV-Vis紫外可见光谱送样单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□溶液   □薄膜   □粉末   □透明块体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测试模式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□吸收   □透射   □漫反射   □动力学扫描   □变温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波长范围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□200–800 nm   □指定：________～________ nm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溶剂/基底空白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空白：________________   比色皿：□石英   □玻璃   □由实验室选择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浓度/稀释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浓度：________   稀释倍数：________   □需要浓度梯度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常规测试通常可回收；稀释及比色皿残留部分无法完整回收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溶液应澄清、无颗粒和气泡，并提供同批溶剂空白；浑浊或聚集会引入散射。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样品浓度应使吸光度处于仪器有效范围，过高时需稀释；请注明稀释后是否可能改变平衡或聚集状态。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紫外区通常需使用石英比色皿；有机溶剂需确认与比色皿和密封盖兼容。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薄膜和粉末需注明基底、厚度、表面粗糙度以及希望测试透射还是漫反射。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