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BET气体吸附与孔结构送样单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□颗粒   □多孔块体   □膜材料剪碎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□BET比表面积   □孔容/孔径   □BJH   □DFT   □CO₂微孔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吸附气体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□N₂   □CO₂   □Ar   □Kr   □由实验室选择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脱气条件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温度：________℃   时间：________h   □未知/需评估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样品稳定性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最高耐温：________℃   □易分解   □易氧化   □易吸湿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脱气和长时间真空处理可能改变样品状态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样品应干燥并具有足够质量；高比表面积材料常需约0.3–0.5 g，低比表面积材料可能需0.5–1 g或更多。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脱气温度必须低于分解、相变或烧结温度；建议结合TGA或文献确定脱气温度和时间。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样品需能够耐受真空和加热，不得释放腐蚀性、可燃性或大量挥发性气体。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低比表面积样品可能需要Kr吸附；微孔材料可考虑CO₂或Ar吸附，需提前说明目标孔径范围。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