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常规力学性能送样单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□薄膜   □板材   □棒材   □纤维   □泡沫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□拉伸   □压缩   □三点/四点弯曲   □剥离   □撕裂   □循环加载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执行标准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□GB   □ASTM   □ISO   标准编号：________________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长×宽×厚：________________   标距：________   数量：________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速率：________   温湿度：________   方向：□纵向 □横向 □其他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□强度   □模量   □断裂伸长   □韧性   □循环稳定性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力学测试通常为破坏性测试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应按拟采用标准制备足够数量和一致尺寸的试样，并明确取样方向、厚度和标距。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试样边缘应整齐、无明显缺口或预损伤；薄膜和纤维需确认夹具、防滑方式和预载。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比较样品应采用一致的温湿度调理时间、加载速率和重复数量。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