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UV-Vis Ultraviolet Vis Vis Vis Vis Spectroscopy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Solvent □ Thin film □ Powder □ Transparent block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Mode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Absorption □ Transmitting □ Wandering Reflections □ Dynamic scan □ Temperature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Wavelength 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□200–800 nm □ Assign: ________～________ nm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Solvent/base blank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Space: ________________ Pyramid: □ Shige-young □ Glass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Concentration/dilution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Concentration: ________ Dilution multiples: ________ □ Gradient required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Regular tests are usually recoverable; Dilution and non-complete recovery of vessel residues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Solvents should be clarified, non-particle-free and bubble-free and provide the same solvent blanks; Smugness or gathering leads to dispersion..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Sample concentrations should keep the sorbence in the instrument ' s range and be diluted when excessive; Please indicate whether it is possible to change the balance or grouping after dilution..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The UV area is usually subject to the use of a quartile velvet.; Organic solvents need to be identified as compatible with the pigment and seal cover..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Membrane and powder shall be shown as base, thickness, roughness of surface and desire to test permeability or permafrost.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