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Synchronized radiation XAFS and soft X-ray absorbent sample sheet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Powder □ Thin film □ Blocks □ Solvent / Battery in situ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□XANES □EXAFS □ Soft XAS □ Synchronizing Radiation XRD/PDF/SAXS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Target element/absorption margin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Elements: ________ Absorption Edge: ________ Projected content: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Measurement Mode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Transmitting □ Fluorescent □ Electronic production □ Location / Operating state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Reference and environment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Reference: ________________ The atmosphere / Electrical chemistry / Temperature: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Thrust, Seal, The in situ device or beam exposure may change the sample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Target elements, absorbent edges, content and matrices need to be identified in advance to select a mode of penetrator, fluorescent or electronic production.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The powder usually needs to be mixed with inert diluent and crushed, The thickness should match the absorption step; Please provide corresponding price patterns and structural references.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Soft X-ray and electronic production patterns require higher surface, vacuum compatibility and air sensitivity; In situ samples are required to provide complete device maps and safety instructions.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4. The synchronous radiation machine and the sample programme are subject to pre-censorship, with final parameters based on line station requirements.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