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Tahertz and Special Spectroscopy.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pressure □ Thin film □ Crystal □ Liquid pool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Transmitting □ Reflection □ TimeSpect □ Temperature □ Distortion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Frequency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□0.1–10 THz □ Assign: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 / thickness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diameter / Area: ________ Thickness: ________ Base: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Water-bearing/wetting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Dry and stable □ Wet easily □ Water □ Inertity required / Seal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Thrust, Drying and sealing can change the sample state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water is very absorbent of Tehertz radiation, and the samples should be as dry as possible, with water content and environmental moisture requirements specified..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Powders often need to be mixed with low absorbent matrices; Membrane and crystals need to provide thickness, base and surface flatness.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High absorbent or overheavy samples may not have an effective perforation signal and should be evaluated and prepared for different thickness levels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