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ICP-OES ICP-MS and AAS Element Analysis Delivery List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Water sample / Solvent □ Decontamination □ Solid □ Oil / Organic fluid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□ICP-OES □ICP-MS □AAS □ Full Scan □ Specify Element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Target elements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Element and projected range: 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Algebra/acidity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Matrix: ________ Acid species / Acidity: ________ Salinity: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Forward processing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Dissolved □ It needs to be healed □ Dilution required □ _Other Organiser Dismantling method: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Blank/standard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Provide gaps □ Provision of standard goods □ Need to mark recovery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Decomposition, Dilution and fogging processes are damaging tests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Liquid samples should be even, No visible particles, Usually recommended provision 5–10 mL; Solid samples generally have to be dissolved and contracted 0.1–0.5 g Or more.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Please specify the acid species, acidity, salinity, proportion of organic solvent and estimated concentration; High salt, high organic or high mass element matrices may need to be diluted or matched.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Trace analysis must use clean packagings and leave blanks, Standard curve and necessary additional recovery; Avoiding contamination of target elements by glass or metal containers.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HF, stronger oxidizer, mercury, highly toxic or radioactive components must be declared in advance and confirmed as acceptable by laboratories.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