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BET gas adsorption with hole structure sample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Particle □ Pyramids □ Membrane cut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□BET Area over surface □ Hole / Angle □BJH □DFT □CO₂ Micro-holes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Gas adsorption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□N₂ □CO₂ □Ar □Kr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Easier condition.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Temperature: ________℃ Time: ________h □ Unknown / Needs assessment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stability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Top Temperature: ________℃ □ Easy to decompose □ Oxidability □ Wet easily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Espiration and prolonged vacuum processing may change the state of the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Samples should be dry and of sufficient quality; High-to-surface material usually requires approximately 0.3-0.5 g and low-to-surface material may require 0.5-1 g or more.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Erosion temperature shall be below the decomposition, phase or sinter temperature; It is recommended that de-gas temperature and time be determined in conjunction with TGA or literature.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Samples shall be resistant to vacuum and heating and shall not release corrosive, flammable or volatile gases in large quantities.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Low-scale surface samples may be required Kr Consort; Micro-pore materials may be considered CO₂ or Ar Consort, The target aperture range needs to be specified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