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Laser particle size and particle distribution sample sheet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Dry powder □ Suspended fluid □ Slurry □ Particle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Method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Wet method □ Do it □ Sieve / Image Method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Dispersive media/pressure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Media: ________ Ultrasound: ________min Dry pressure: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Refraction Rate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Particle Refraction Rate: ________ Absorption: ________ Media Refraction Rate: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Result needs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□D10/D50/D90 □ Volume Distribution □ Quantity distribution □ Repeatability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Dispersion, ultrasound and circular measurements consume or alter parts of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Wet samples should be stable, dispersed and insoluble in the selected media; Dry samples should be highly mobile and inhalable..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provide the particle and medium refraction rate, absorption rate or material composition.; Inaccuracies affect inverted particles.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Whether or not to disperse a family should be determined for the purposes of the study, with the recording of ultrasound time, dispersants and mixing conditions.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