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Arial" w:hAnsi="Arial" w:eastAsia="Arial" w:cs="Arial"/>
        </w:rPr>
      </w:pPr>
      <w:r>
        <w:rPr>
          <w:rFonts w:ascii="Arial" w:hAnsi="Arial" w:eastAsia="Arial" w:cs="Arial"/>
          <w:b/>
          <w:sz w:val="31"/>
        </w:rPr>
        <w:t xml:space="preserve">GPC SEC Molecular Distribution Samples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Order number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Organization / Contact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Unit: ________________ Contact Name: ________ Phone: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Quantity and IDs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Name and Composition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Condition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Polymetallic solids □ polymer solution □ High solubility molecules in water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Test System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Organic phase GPC □ Water phase SEC □ High temperature GPC □ Multidetectors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Solvent/concentration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Solvent: ________ Concentration: ________ mg/mL Filter aperture: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Polymer Information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Type: ________ Projected molecular volume: ________ Whether or not to support / Bring the power: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Standard/adaptation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PolyStyrene standard □PEG/PEO Standard □ Absolute Molecular Mass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Safety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No poison □ Poison □ Corrosiveness □ Flammable □ Volatile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Is there an instrument type requirement?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Yes, Instrument Type: ________________ □ No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Return Remaining Samples?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 □ No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2F5597"/>
                <w:sz w:val="19"/>
              </w:rPr>
              <w:t xml:space="preserve">※ Dissolve, Filtering and sampling consumes samples</w:t>
            </w:r>
          </w:p>
        </w:tc>
      </w:tr>
    </w:tbl>
    <w:p>
      <w:pPr>
        <w:keepNext/>
        <w:spacing w:before="80" w:after="0"/>
      </w:pPr>
      <w:r>
        <w:rPr>
          <w:rFonts w:ascii="Arial" w:hAnsi="Arial" w:eastAsia="Arial" w:cs="Arial"/>
          <w:b w:val="0"/>
          <w:sz w:val="21"/>
        </w:rPr>
        <w:t xml:space="preserve">Note: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1. Samples shall be fully dissolved and filtrated with suitable filters and shall not contain gel, particles or insolubles to prevent chromosome columns from being blocked.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2. Please indicate solvents, concentrations, expected molecular volumes, supporting/electric properties and high temperature conditions.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3. The normal calibration receives relative molecular weights; Discrepancies between different polymers and standard structures affect the outcome, with absolute molecular mass requiring multiple detectors or light dispersion.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Arial" w:hAnsi="Arial" w:cs="Arial" w:eastAsia="Arial"/>
        <w:b/>
        <w:bCs/>
        <w:sz w:val="14"/>
        <w:szCs w:val="15"/>
      </w:rPr>
      <w:t xml:space="preserve">Comment: 1. Please attach information such as reference pictures that may be useful for testing. 2. This test is only responsible for the sample.. 3. Please complete this test form carefully.</w:t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 w:ascii="Arial" w:hAnsi="Arial" w:cs="Arial" w:eastAsia="Arial"/>
      <w:sz w:val="32"/>
      <w:szCs w:val="32"/>
      <w:lang w:val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