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Nanopress marks and a sample of micronastics.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Blocks □ Thin film / Painting □ Chips □ Particle Embedded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Hardness / Model □ Load - Offset □ The scratches □ Wandering □Mapping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information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Base: ________ Spectrum thickness: ________ Surface roughness: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Load Conditions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Maximum payload / Depth: ________ Secure: ________s Points: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Location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Flat Area □ Front □ Specified area ( Annex Figure ) □ Array Mapping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~ Crushes and scratches will leave permanently small marks on the surface. ~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Test surfaces should be flat, smooth and secure; The roughness should be much smaller than the target pressure depth..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Membrane tests need to provide membrane thickness and base properties, and pressure depth should normally be limited to a percentage of membrane thickness in order to reduce the base effect.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Flexible, sticky or perforated materials need to be clearly assured of load time, rate of response and number of points.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