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Electrochemical CV LV EIS and charge delivery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prepared electrodes □ Powder active material □ Membrane / A coating electrode □ Devices / Battery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□CV □LSV □EIS □GCD □ Multiplier / Loop □ Polarization / Taffy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Electro-Information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Working electrodes: ________ Area: ________ Load: ________mg/cm²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System Configuration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Electrolyte: ________ References: ________ To the electrodes: ________ Temperature: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Parameters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voltage window: ________ Sweep speed / Electricity density: ________ Frequency: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Combination and atmosphere.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Three electrodes □ Two electrodes □ Button / Floppy bag □ Inert assembly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· Cyclops, polarization and dismantling usually change or consume electrodes/cells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Full electrode area, activity mass, load, electrolyte, reference electrodes and voltage windows must be provided to facilitate the integration and recurrence of results.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Powder materials that require electrodes shall identify adhesives, conductors, rationing, fusion and dry conditions.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Different safety requirements for water systems, organics, batteries and corrosive systems; Lithium-containing metals, flammable electrolytes, high-pressure gases or sealed batteries require prior confirmation.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EIS To identify equivalent circuit assumptions and stabilization states; The charge test is subject to cut-off conditions and abnormal protection.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