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Scratch scratches and reinforcements of the sample.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Blocks □ Thin film / Painting □ Films □ Fibre / fabric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Motion factor □ wear and tear rate □ Ball - Disk / Sales - Disk □ The scratches □ Investing / Centuries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size/surface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Dimensions: ________________ Roughness: ________ thickness of coating: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Pocket/load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Pocket: ________ Load: ________ Speed: ________ Process: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Environmental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Dry friction □ Lubrication □ Water / Solvent □ Temperature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• Harm, scratch and strength tests are destructive tests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Test surfaces should be flat, clean and secure; Need to provide coating thickness, base and surface roughness.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The friction results are very sensitive to the load, velocity, to the porcelain material, to the environment and to the itinerary, and the comparison of samples must be consistent.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Need for identification of critical load criteria and the need for micro-observed bruises for scratches and intensive testing.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