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GC and GC-MS gas phase analysis sample sheets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Liquid □ Gases □ Top Empty □ Extracting fluid □ Solid to be desolved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□GC-FID/TCD □GC-MS □ Top Space □ Pyrolysis □ characterization □ Quantitative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 / Boiling Point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Targeted object: ________________ Estimated Boiling Point / Scope: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Solvent/concentration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Solvent: ________ Concentration: ________ Water: □ Yes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Forward processing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Filtered □ Derivated □ _Other Organiser □ Extractable / Cleaning □ Methodological development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• Samples are consumed by sampling, top space, pyrolysis and derivation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Compounds suitable for volatilisation or derivatives; High boiling point, non-volatile salt, polymer particles and strong acid alkalis should not go directly into the sample.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provide the solvent, target, estimated concentration, boiling point and thermal stability.; Water and non-volatile residues may damage the entry and chromatography columns.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Quantification needs to provide standard products, targets and gaps; Complex matrices may need extraction, purification or derivative.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