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Samples of water quality routines and nutritional salt analysis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Surface water □ Groundwater □ Wastewater □ Seawater □ Reaction fluid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□pH/ Electrical conductivity □COD □BOD₅ □TN □TP □NH₄⁺-N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19"/>
              </w:rPr>
              <w:t xml:space="preserve">□NO₃⁻/NO₂⁻ □TOC □ Humiliation □ Other: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information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Sample Time: ________ Locations: ________ Storage agent: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Save Conditions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Refrigeration □ Refrigeration □ Acidification □ Hide from the light □ On-site static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Filter Request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Total Not Filtered □ Solvent Filter Filter: ________ μm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Analysis consumes samples, Some items need to be added to the saver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Packagings, storage agents and maximum storage times for different indicators should be confirmed prior to sampling and sent for inspection as soon as possible.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Totals and dissolved results are not interchangeable; It needs to be clear whether or not to filter and when to filter, which may change the composition of the particle in combination..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Volatile, oxidizing or biologically active indicators should be as fixed as possible in situ, evasive, refrigerated and transport time reduced.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