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Sampling of soil sediments and solid environmental samples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Soil □ Sediment □ Dust □ Obsolete □ Plant / Biomass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□pH/EC/ Water content rate □ Organic /TOC □ Metal □ Nutritional salt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 Organic pollutants □ Particle □ Other: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Sample/Depth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Locations: ________________ Depth: ________ Sample Time: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Pre-treatment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wet as it is □ Wind dry □ It's cold and dry □ It's been sharpened □ Pre-processed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Save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□4℃ □-20℃ □ Hide from the light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Drying, grinding, digesting and extraction all consume or alter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Different indicators require different requirements for wind drying, refrigeration, sifting particles and storage conditions, and the target items should be identified prior to delivery.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Volatile organic matter, Microbiological activity and morphological analysis are often inappropriate for drying or prolonged exposure, Sealed refrigeration should be used / Frozen.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Samples should adequately represent sampling sites and mix; When heterogeneity is strong, it is recommended to provide sufficient samples and field information.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