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Quantification and pre-treatment of organic pollutants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Water sample □ Soil / Sediment □ Biological sample □ Products / Materials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Targeted object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□PAHs □PCBs/PBDEs □ Pesticides □ Antibiotics □PFAS □ Hormones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19"/>
              </w:rPr>
              <w:t xml:space="preserve">□ Biphenyl / Plasticizer □ Other: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Analysis platform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□LC-MS/MS □GC-MS/MS □HPLC □GC □ I'm not sure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Forward processing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□SPE □ Liquid extraction □ Ultrasound / Turbo □ Cleaning □ Nitrogen condensation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Mass Control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Space □ Parallel □ Add Recovery □ Alternatives / Inline □ Base Marks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• The extraction, purification and enrichment processes are damaging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Pre-treatment and instrumentation methods should be selected by identifying in advance the target list, expected concentrations, sample matrices and test limits.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Trace organic matter analysis requires the use of clean, low background packagings and avoidance of the introduction of plastic, rubber or washing agents into the target material.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PFAS, NWFs, PAHs, etc. have special requirements for packagings and consumables, and must have all-process blanks and marked recovery.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