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Biocompatible cells and anti-bacterial performance sample sheets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Materials / Membrane □ Powder □ Solution □ Water gel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Cell dynamics / Toxicity □ Cell Sticky / Multiculture □ Solution □ Antibacterial Rate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19"/>
              </w:rPr>
              <w:t xml:space="preserve">□ The fungus □ It's dyed to death □ Inflammation / Genetic expression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Materials and sterilization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Dimensions / Quality: ________ The method of sterilization: ________ □ Laboratory sterilization required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Concentration / leachate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Concentration Gradient: ________ Baptism: ________ Time: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Cells / strains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Cellular system / Bacillus: ________________ Conditions of development: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Contrast Settings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Negative □ Positive □ Blank Base □ Solvent Contrast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sterile, Soak it, Both culture and dye will consume samples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have no known pathogens and provide complete composition, solvents, sterilization methods and safety instructions; Unknown biological hazard samples are not received.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Material needs to be clear as to whether high temperature, high pressure, UV or alcohol sterilisation can occur, which can change the surface and release.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Cells/antibacterial experiments need to predetermine sample sizes, leaching ratios, concentration gradients, cellular/bacterial strains and positive negative comparisons.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Organic solvents, Surface active agents and nanoparticles may have non-specific effects on cells, Solvent and particle blanks should be set.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