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X Lines CT Three-dimensional sample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Blocks □ Sum of particles □ Devices □ Biological / Combination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Mode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Micrometres CT □ High-resolution CT □ In-place loading / Heating □ Reconstruct 3D / Quantitative analysis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diameter / Width: ________ Height: ________ Maximum structure of attention: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Concerns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Hole □ Cracks □ Combination □ Internal structure □ Volume Scores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Fixed Mode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It's sticky □ It's not glueable □ It needs sealing □ It's determined by the lab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General CT is usually intact.; In situ, cutting or stationary treatment may change the sample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should be stable and non-moveable during rotation; The larger the size or density, the lower the spatial resolution usually..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Please indicate the main elements, density differences and target defects in order to select the size of the tube voltage, filters and body matter..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Hypothetically, metal thickness, high-atomic sequence or multi-material combinations may produce strangulation, stripes, etc..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