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A sample copy of the XRD composite phase and film structure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Blocks □ Thin film / Painting □ Monjing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Mode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General XRD □ Slow sweeps □ Small corner /SAXRD □GIXRD □ Micro Zones XRD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19"/>
              </w:rPr>
              <w:t xml:space="preserve">□XRR □ Monjing XRD □ In-place heating / Cool □Rietveld Fine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Scan Range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2θ: ________～________° Step length: ________ Scan Rate: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size/base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Dimensions: ________________ Base: ________________ Spectrum thickness: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Target phase/crystal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Known or suspected: ________________ Focus on Peaks / Crystal Noodle: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Environmental requirements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Temperature Air □ Inertity / Seal □ Temperature □ Other: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General tests are generally recyclable; Possible changes in the state of grinding, crushing or in situ processing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Powder samples are recommended for grinding to fine powder and mixing evenly, with a preferred particle size of about 10 μm or more; Hundreds of milligrams are usually required and more samples are required for low-level phase analysis.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The powder surface should be flat and avoid a clear preference orientation; The blocks must have enough flat surfaces..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Thin film /GIXRD/XRR Base to be specified, Spectrum thickness, Layer structure and direction of launch; A single crystal needs a crystal size, Stability and Solvent Information.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Air / Water-sensitive samples need to be sealed or dedicated sample racks used; In situ testing should provide temperature, Acoustics and cooling procedures.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