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Raman Laman Spectroscopy.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Blocks □ Liquid □ Thin film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Type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Temperature □ High temperature □ Temperature □Mapping □ Location / Change the atmosphere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Laser wavelength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>□325   □405   □455   □488   □514   □532   □633   □785   □1064 nm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Location/area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Default 3 Organisation □ A specified number: ________ Mapping Regional: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Temperature/range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Temperature Point: ________________ Raman Move range: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Watch the summit.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Focus on Peaks / Bibliography: ____________________________________________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Laser exposure or high-temperature treatment may cause local damage or variability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The powder proposal provides more than 10 mg; The block proposal is not less than 1 x 1 mm; Liquids recommend more than 1 mL.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Samples that are fluorescent, flammable, carbonized, thermally decomposition or sensitive to lasers must be described in advance and be prioritized for low-power testing.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Different laser wavelengths may lead to peaks and fluorescent background differences; If not specified, the laboratory selects according to the sample colour and literature.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High-temperature, low-temperature, Mapping and in situ tests need to identify temperature points, regions, steps, atmosphere and time requirements.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