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FX-12 — Raman Spectroscopy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FX-12 Category: Spectroscopy and Energy Level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Test Range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Waves / Wavelength / Frequency: 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Test Conditions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Solid □ Solvent □ Location □ Temperature □ Timing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Focus.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Peak / The Council / It's cool / Dynamics: 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Raman spectra, peak label, structure interpretation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complete the composition, status, quantity and hazard of the sample as such.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Specific parameters, cycles and costs are based on the technical assessment and final offer.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