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FX-26 — High-Resolution TEM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Project ID: FX-26 Category: Micro-image and 3D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Observation.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Surface □ Front □ Fragment □ Particle □ Specified area: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Multiplier/scale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Minimum: ________ Highest: ________ □ It's a laboratory choice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Additional analysis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□EDS □Mapping □SAED □ crystalline stripes □3D Reconstruct □ Statistical analysis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TEM/HRTEM chart, crystal stripes, size statistics; Based on TEM/HRTEM integrated project 500 yuan/sample.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should be clean, stable and clearly observed, cross-sectioned or directed.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Samples of damage from powder, liquid, magnetic, volatile or beam-bound must be specified in advance.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