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FX-39 — Focused Ion Beam (FIB)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FX-39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Observation.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Surface □ Front □ Fragment □ Particle □ Specified area: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Multiplier/scale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Minimum: ________ Highest: ________ □ It's a laboratory choice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Additional analysis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□EDS □Mapping □SAED □ crystalline stripes □3D Reconstruct □ Statistical analysis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Cross-section, layer thick, three-dimensional reconstruction of data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should be clean, stable and clearly observed, cross-sectioned or directed.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of damage from powder, liquid, magnetic, volatile or beam-bound must be specified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