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FX-44 — GC-MS Mass Spectrometric Analysis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Item number: FX-44 Category: composition, chromatography and mass spectrometry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Target group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Elements / Ion / Compounds: 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Quantitative requirements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characterization □ Semi-quantitative □ Exterior Quantification □ Inline Quantification □ Checkout Limit Requirements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Pre-treatment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Completed □ It needs to be healed □ Extractable □ _Other Organiser / Enrichment □ Please evaluate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Qualitative/Quantitative Vocs; By volatile organic matter GC-MS 500 Yen/sample; GC-MS/MS projects of up to $1,000/sample.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specify the target material, the expected concentration range, the matrix composition and whether quantification is required.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Hazardous, volatile, corrosive or biological samples must provide safe information.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