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Copy from CODcr-CODmn-BOD5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FX-92 Category: Composition, chromatography and mass spectrometry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Test Parameters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Scope, Conditions, Procedures: 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Key indicators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Data processing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Basic treatment □ Statistical analysis □ Charts and interpretation of results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COD/BOD results and standard methodology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complete the composition, status, quantity and hazard of the sample as such.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Specific parameters, cycles and costs are based on the technical assessment and final offer.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