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荧光PL与三维荧光EEM送样单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□溶液   □粉末   □薄膜   □块体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□发射谱   □激发谱   □PL   □EEM   □荧光寿命   □量子产率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波长参数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激发波长：________   发射范围：________   激发范围：________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浓度/空白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浓度：________   空白：________   □需要梯度/猝灭实验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样品稳定性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□避光   □易光漂白   □易氧化   □需脱氧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光照、稀释、脱氧或加入猝灭剂后的样品可能无法恢复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溶液应澄清、无明显散射颗粒，并提供溶剂空白；强吸收样品建议使激发波长处吸光度低于约0.1，以减少内滤效应。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请注明激发/发射范围、狭缝、是否需要校正及量子产率参比方法。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易光漂白、氧敏感或温度敏感样品应注明保存和测量条件；必要时需避光、脱氧或低温测试。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粉末和薄膜的PL强度受装样方式、表面粗糙度和测量几何影响，比较样品应保持一致条件。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