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ICP-OES ICP-MS与AAS元素分析送样单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□水样/溶液   □消解液   □固体   □油/有机液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□ICP-OES   □ICP-MS   □AAS   □全元素扫描   □指定元素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目标元素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元素及预计范围：__________________________________________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基体/酸度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基体：________   酸种/酸度：________   盐度：________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前处理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□已消解   □需消解   □需稀释   □需过滤   消解方法：________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空白/标准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□提供空白   □提供标准品   □需要加标回收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消解、稀释和雾化过程为有损测试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液体样品应均匀、无可见颗粒，通常建议提供5–10 mL；固体样品一般需消解并提供约0.1–0.5 g或更多。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请注明酸种、酸度、盐度、有机溶剂比例和预计浓度；高盐、高有机或高主量元素基体可能需要稀释或基体匹配。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痕量分析必须使用洁净容器并设置空白、标准曲线和必要的加标回收；避免玻璃或金属容器引入目标元素污染。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4. 含HF、强氧化剂、汞、剧毒或放射性成分必须提前申报并由实验室确认可接受性。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